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w:t>
      </w:r>
      <w:r>
        <w:rPr>
          <w:rFonts w:hint="eastAsia" w:ascii="Arial" w:hAnsi="Arial" w:cs="Arial"/>
          <w:b/>
          <w:bCs/>
          <w:snapToGrid w:val="0"/>
          <w:kern w:val="0"/>
          <w:sz w:val="24"/>
        </w:rPr>
        <w:t>2</w:t>
      </w:r>
      <w:r>
        <w:rPr>
          <w:rFonts w:hint="eastAsia" w:ascii="Arial" w:hAnsi="Arial" w:cs="Arial"/>
          <w:b/>
          <w:bCs/>
          <w:snapToGrid w:val="0"/>
          <w:kern w:val="0"/>
          <w:sz w:val="24"/>
          <w:lang w:val="en-US" w:eastAsia="zh-CN"/>
        </w:rPr>
        <w:t>1</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ascii="Arial" w:hAnsi="Arial" w:cs="Arial"/>
          <w:b/>
          <w:bCs/>
          <w:snapToGrid w:val="0"/>
          <w:kern w:val="0"/>
          <w:sz w:val="24"/>
        </w:rPr>
        <w:t xml:space="preserve"> </w:t>
      </w:r>
      <w:r>
        <w:rPr>
          <w:rFonts w:hint="eastAsia" w:ascii="Arial" w:hAnsi="Arial" w:cs="Arial"/>
          <w:b/>
          <w:bCs/>
          <w:snapToGrid w:val="0"/>
          <w:kern w:val="0"/>
          <w:sz w:val="24"/>
        </w:rPr>
        <w:t>R2-23011</w:t>
      </w:r>
      <w:r>
        <w:rPr>
          <w:rFonts w:hint="eastAsia" w:ascii="Arial" w:hAnsi="Arial" w:cs="Arial"/>
          <w:b/>
          <w:bCs/>
          <w:snapToGrid w:val="0"/>
          <w:kern w:val="0"/>
          <w:sz w:val="24"/>
          <w:lang w:val="en-US" w:eastAsia="zh-CN"/>
        </w:rPr>
        <w:t>37</w:t>
      </w:r>
    </w:p>
    <w:p>
      <w:pPr>
        <w:overflowPunct w:val="0"/>
        <w:autoSpaceDE w:val="0"/>
        <w:autoSpaceDN w:val="0"/>
        <w:adjustRightInd w:val="0"/>
        <w:snapToGrid w:val="0"/>
        <w:spacing w:line="240" w:lineRule="auto"/>
        <w:jc w:val="left"/>
        <w:textAlignment w:val="baseline"/>
        <w:rPr>
          <w:rFonts w:ascii="Arial" w:hAnsi="Arial" w:cs="Arial"/>
          <w:b/>
          <w:bCs/>
          <w:kern w:val="0"/>
          <w:sz w:val="24"/>
          <w:lang w:val="en-GB"/>
        </w:rPr>
      </w:pPr>
      <w:r>
        <w:rPr>
          <w:rFonts w:hint="eastAsia" w:ascii="Arial" w:hAnsi="Arial" w:cs="Arial"/>
          <w:b/>
          <w:bCs/>
          <w:kern w:val="0"/>
          <w:sz w:val="24"/>
          <w:lang w:val="en-US" w:eastAsia="zh-CN"/>
        </w:rPr>
        <w:t>Athens, Greece, 27</w:t>
      </w:r>
      <w:r>
        <w:rPr>
          <w:rFonts w:ascii="Arial" w:hAnsi="Arial" w:cs="Arial"/>
          <w:b/>
          <w:bCs/>
          <w:kern w:val="0"/>
          <w:sz w:val="24"/>
          <w:vertAlign w:val="superscript"/>
        </w:rPr>
        <w:t>th</w:t>
      </w:r>
      <w:r>
        <w:rPr>
          <w:rFonts w:ascii="Arial" w:hAnsi="Arial" w:cs="Arial"/>
          <w:b/>
          <w:bCs/>
          <w:kern w:val="0"/>
          <w:sz w:val="24"/>
        </w:rPr>
        <w:t xml:space="preserve"> </w:t>
      </w:r>
      <w:r>
        <w:rPr>
          <w:rFonts w:hint="eastAsia" w:ascii="Arial" w:hAnsi="Arial" w:cs="Arial"/>
          <w:b/>
          <w:bCs/>
          <w:kern w:val="0"/>
          <w:sz w:val="24"/>
          <w:lang w:val="en-US" w:eastAsia="zh-CN"/>
        </w:rPr>
        <w:t xml:space="preserve">February </w:t>
      </w:r>
      <w:r>
        <w:rPr>
          <w:rFonts w:ascii="Arial" w:hAnsi="Arial" w:cs="Arial"/>
          <w:b/>
          <w:bCs/>
          <w:kern w:val="0"/>
          <w:sz w:val="24"/>
        </w:rPr>
        <w:t xml:space="preserve">– </w:t>
      </w:r>
      <w:r>
        <w:rPr>
          <w:rFonts w:hint="eastAsia" w:ascii="Arial" w:hAnsi="Arial" w:cs="Arial"/>
          <w:b/>
          <w:bCs/>
          <w:kern w:val="0"/>
          <w:sz w:val="24"/>
          <w:lang w:val="en-US" w:eastAsia="zh-CN"/>
        </w:rPr>
        <w:t>3</w:t>
      </w:r>
      <w:r>
        <w:rPr>
          <w:rFonts w:hint="eastAsia" w:ascii="Arial" w:hAnsi="Arial" w:cs="Arial"/>
          <w:b/>
          <w:bCs/>
          <w:kern w:val="0"/>
          <w:sz w:val="24"/>
          <w:vertAlign w:val="superscript"/>
          <w:lang w:val="en-US" w:eastAsia="zh-CN"/>
        </w:rPr>
        <w:t>rd</w:t>
      </w:r>
      <w:r>
        <w:rPr>
          <w:rFonts w:ascii="Arial" w:hAnsi="Arial" w:cs="Arial"/>
          <w:b/>
          <w:bCs/>
          <w:kern w:val="0"/>
          <w:sz w:val="24"/>
        </w:rPr>
        <w:t xml:space="preserve"> </w:t>
      </w:r>
      <w:r>
        <w:rPr>
          <w:rFonts w:hint="eastAsia" w:ascii="Arial" w:hAnsi="Arial" w:cs="Arial"/>
          <w:b/>
          <w:bCs/>
          <w:kern w:val="0"/>
          <w:sz w:val="24"/>
          <w:lang w:val="en-US" w:eastAsia="zh-CN"/>
        </w:rPr>
        <w:t>March</w:t>
      </w:r>
      <w:r>
        <w:rPr>
          <w:rFonts w:ascii="Arial" w:hAnsi="Arial" w:cs="Arial"/>
          <w:b/>
          <w:bCs/>
          <w:kern w:val="0"/>
          <w:sz w:val="24"/>
        </w:rPr>
        <w:t xml:space="preserve"> 202</w:t>
      </w:r>
      <w:r>
        <w:rPr>
          <w:rFonts w:hint="eastAsia" w:ascii="Arial" w:hAnsi="Arial" w:cs="Arial"/>
          <w:b/>
          <w:bCs/>
          <w:kern w:val="0"/>
          <w:sz w:val="24"/>
          <w:lang w:val="en-US" w:eastAsia="zh-CN"/>
        </w:rPr>
        <w:t>3</w:t>
      </w:r>
      <w:r>
        <w:rPr>
          <w:rFonts w:ascii="Arial" w:hAnsi="Arial" w:cs="Arial"/>
          <w:b/>
          <w:bCs/>
          <w:kern w:val="0"/>
          <w:sz w:val="24"/>
          <w:lang w:val="en-GB"/>
        </w:rPr>
        <w:t xml:space="preserve">             </w:t>
      </w:r>
      <w:r>
        <w:rPr>
          <w:rFonts w:hint="eastAsia" w:ascii="Arial" w:hAnsi="Arial" w:cs="Arial"/>
          <w:b/>
          <w:bCs/>
          <w:kern w:val="0"/>
          <w:sz w:val="24"/>
          <w:lang w:val="en-US" w:eastAsia="zh-CN"/>
        </w:rPr>
        <w:t xml:space="preserve"> </w:t>
      </w:r>
    </w:p>
    <w:p>
      <w:pPr>
        <w:overflowPunct w:val="0"/>
        <w:autoSpaceDE w:val="0"/>
        <w:autoSpaceDN w:val="0"/>
        <w:adjustRightInd w:val="0"/>
        <w:snapToGrid w:val="0"/>
        <w:spacing w:line="240" w:lineRule="auto"/>
        <w:jc w:val="left"/>
        <w:textAlignment w:val="baseline"/>
        <w:rPr>
          <w:rFonts w:ascii="Arial" w:hAnsi="Arial" w:cs="Arial"/>
          <w:b/>
          <w:bCs/>
          <w:kern w:val="0"/>
          <w:sz w:val="24"/>
          <w:lang w:val="en-GB"/>
        </w:rPr>
      </w:pP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spacing w:line="240" w:lineRule="auto"/>
        <w:ind w:left="2100" w:hanging="2100"/>
        <w:jc w:val="left"/>
        <w:textAlignment w:val="baseline"/>
        <w:rPr>
          <w:rFonts w:hint="default" w:ascii="Arial" w:hAnsi="Arial" w:cs="Arial"/>
          <w:b/>
          <w:bCs/>
          <w:snapToGrid w:val="0"/>
          <w:kern w:val="0"/>
          <w:sz w:val="24"/>
          <w:lang w:val="en-US"/>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Clarification on neighboring cell measurements for NTN</w:t>
      </w:r>
      <w:bookmarkStart w:id="7" w:name="_GoBack"/>
      <w:bookmarkEnd w:id="7"/>
    </w:p>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6.6.3</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rPr>
          <w:rFonts w:hint="default"/>
          <w:lang w:val="en-US" w:eastAsia="zh-CN"/>
        </w:rPr>
      </w:pPr>
      <w:bookmarkStart w:id="2" w:name="_Toc12718547"/>
      <w:r>
        <w:rPr>
          <w:rFonts w:hint="eastAsia"/>
          <w:lang w:val="en-US" w:eastAsia="zh-CN"/>
        </w:rPr>
        <w:t>The discussion intends to discuss remaining CP issues in NTN, including neighboring cell measurement clarification and propagation delay difference report.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pPr>
        <w:pStyle w:val="3"/>
        <w:numPr>
          <w:ilvl w:val="1"/>
          <w:numId w:val="3"/>
        </w:numPr>
        <w:rPr>
          <w:rFonts w:hint="eastAsia"/>
          <w:b w:val="0"/>
          <w:bCs w:val="0"/>
          <w:lang w:val="en-US" w:eastAsia="zh-CN"/>
        </w:rPr>
      </w:pPr>
      <w:bookmarkStart w:id="3" w:name="OLE_LINK2"/>
      <w:r>
        <w:rPr>
          <w:rFonts w:hint="eastAsia"/>
          <w:b w:val="0"/>
          <w:bCs w:val="0"/>
          <w:lang w:val="en-US" w:eastAsia="zh-CN"/>
        </w:rPr>
        <w:t>Neighboring cell measurements</w:t>
      </w:r>
    </w:p>
    <w:p>
      <w:pPr>
        <w:tabs>
          <w:tab w:val="right" w:pos="10649"/>
        </w:tabs>
        <w:spacing w:before="44" w:beforeLines="0" w:afterLines="0"/>
        <w:jc w:val="left"/>
        <w:rPr>
          <w:rFonts w:hint="eastAsia"/>
          <w:lang w:val="en-US" w:eastAsia="zh-CN"/>
        </w:rPr>
      </w:pPr>
      <w:r>
        <w:rPr>
          <w:rFonts w:hint="eastAsia"/>
          <w:b w:val="0"/>
          <w:bCs w:val="0"/>
          <w:sz w:val="24"/>
          <w:szCs w:val="24"/>
          <w:lang w:val="en-US" w:eastAsia="zh-CN"/>
        </w:rPr>
        <w:t>---------------------------------------------------</w:t>
      </w:r>
      <w:r>
        <w:rPr>
          <w:rFonts w:hint="eastAsia"/>
          <w:b w:val="0"/>
          <w:bCs w:val="0"/>
          <w:sz w:val="20"/>
          <w:szCs w:val="20"/>
          <w:lang w:val="en-US" w:eastAsia="zh-CN"/>
        </w:rPr>
        <w:t xml:space="preserve"> 38.300-h30</w:t>
      </w:r>
      <w:r>
        <w:rPr>
          <w:rFonts w:hint="eastAsia"/>
          <w:b w:val="0"/>
          <w:bCs w:val="0"/>
          <w:sz w:val="24"/>
          <w:szCs w:val="24"/>
          <w:lang w:val="en-US" w:eastAsia="zh-CN"/>
        </w:rPr>
        <w:t xml:space="preserve"> ---------------------------------------------</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4" w:name="_Toc124536348"/>
      <w:r>
        <w:rPr>
          <w:rFonts w:ascii="Arial" w:hAnsi="Arial" w:eastAsia="Times New Roman" w:cs="Times New Roman"/>
          <w:sz w:val="24"/>
          <w:lang w:val="en-GB" w:eastAsia="ja-JP" w:bidi="ar-SA"/>
        </w:rPr>
        <w:t>16.14.3.3</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Measurements</w:t>
      </w:r>
      <w:bookmarkEnd w:id="4"/>
    </w:p>
    <w:p>
      <w:pPr>
        <w:spacing w:after="180" w:line="240" w:lineRule="auto"/>
        <w:textAlignment w:val="baseline"/>
        <w:rPr>
          <w:rFonts w:eastAsia="Times New Roman"/>
        </w:rPr>
      </w:pPr>
      <w:r>
        <w:rPr>
          <w:rFonts w:eastAsia="Times New Roman"/>
        </w:rPr>
        <w:t>The same principle as described in 9.2.4 applies to measurements in NTN unless here</w:t>
      </w:r>
      <w:r>
        <w:rPr>
          <w:rFonts w:hint="eastAsia" w:eastAsia="宋体"/>
          <w:lang w:val="en-US" w:eastAsia="zh-CN"/>
        </w:rPr>
        <w:t xml:space="preserve"> </w:t>
      </w:r>
      <w:r>
        <w:rPr>
          <w:rFonts w:eastAsia="Times New Roman"/>
        </w:rPr>
        <w:t>under specified.</w:t>
      </w:r>
    </w:p>
    <w:p>
      <w:pPr>
        <w:spacing w:after="180" w:line="240" w:lineRule="auto"/>
        <w:textAlignment w:val="baseline"/>
        <w:rPr>
          <w:rFonts w:eastAsia="Times New Roman"/>
        </w:rPr>
      </w:pPr>
      <w:r>
        <w:rPr>
          <w:rFonts w:eastAsia="Times New Roman"/>
        </w:rPr>
        <w:t>The network can configure: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multiple SMTCs in parallel per carrier and for a given set of cells depending on UE capabilities;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measurement gaps based on multiple SMTCs;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assistance information (e.g., ephemeris, Common TA parameters) provided in SIB19 for UE to perform measurement on neighbour cells in RRC_IDLE/RRC_INACTIVE/RRC_CONNECTED.</w:t>
      </w:r>
    </w:p>
    <w:p>
      <w:pPr>
        <w:spacing w:after="180" w:line="240" w:lineRule="auto"/>
        <w:textAlignment w:val="baseline"/>
        <w:rPr>
          <w:rFonts w:eastAsia="Times New Roman"/>
        </w:rPr>
      </w:pPr>
      <w:r>
        <w:rPr>
          <w:rFonts w:eastAsia="Times New Roman"/>
        </w:rPr>
        <w:t>NW-controlled adjustment of SMTCs can be based on UE assistance information reported in RRC_CONNECTED. A UE in RRC_IDLE/RRC_INACTIVE can adjust SMTCs based on its location and assistance information in SIB19.</w:t>
      </w:r>
    </w:p>
    <w:p>
      <w:pPr>
        <w:spacing w:after="180" w:line="240" w:lineRule="auto"/>
        <w:textAlignment w:val="baseline"/>
        <w:rPr>
          <w:rFonts w:eastAsia="Times New Roman"/>
        </w:rPr>
      </w:pPr>
      <w:r>
        <w:rPr>
          <w:rFonts w:eastAsia="Times New Roman"/>
        </w:rPr>
        <w:t xml:space="preserve">UE assistance information consists of the service link propagation delay difference(s) </w:t>
      </w:r>
      <w:r>
        <w:rPr>
          <w:rFonts w:eastAsia="Times New Roman"/>
          <w:lang w:eastAsia="zh-CN"/>
        </w:rPr>
        <w:t>between</w:t>
      </w:r>
      <w:r>
        <w:rPr>
          <w:rFonts w:eastAsia="Times New Roman"/>
        </w:rPr>
        <w:t xml:space="preserve"> </w:t>
      </w:r>
      <w:r>
        <w:rPr>
          <w:rFonts w:eastAsia="Times New Roman"/>
          <w:lang w:eastAsia="zh-CN"/>
        </w:rPr>
        <w:t>serving</w:t>
      </w:r>
      <w:r>
        <w:rPr>
          <w:rFonts w:eastAsia="Times New Roman"/>
        </w:rPr>
        <w:t xml:space="preserve"> the cell and neighbour cell(s).</w:t>
      </w:r>
    </w:p>
    <w:p>
      <w:pPr>
        <w:spacing w:after="180" w:line="240" w:lineRule="auto"/>
        <w:textAlignment w:val="baseline"/>
        <w:rPr>
          <w:rFonts w:eastAsia="Times New Roman"/>
          <w:highlight w:val="yellow"/>
        </w:rPr>
      </w:pPr>
      <w:r>
        <w:rPr>
          <w:rFonts w:eastAsia="Times New Roman"/>
          <w:highlight w:val="yellow"/>
        </w:rPr>
        <w:t>For a UE in Idle/Inactive mode it's up to UE implementation whether to perform NTN neighbour cell measurements on a cell indicated in SIB4 but not included in SIB19.</w:t>
      </w:r>
    </w:p>
    <w:p>
      <w:pPr>
        <w:spacing w:after="180" w:line="240" w:lineRule="auto"/>
        <w:textAlignment w:val="baseline"/>
        <w:rPr>
          <w:rFonts w:eastAsia="Times New Roman"/>
          <w:highlight w:val="yellow"/>
        </w:rPr>
      </w:pPr>
      <w:r>
        <w:rPr>
          <w:rFonts w:eastAsia="Times New Roman"/>
          <w:highlight w:val="yellow"/>
        </w:rPr>
        <w:t>For a UE in Connected mode, it's up to UE implementation whether to perform NTN neighbour cell measurements on a cell included in the measurement configuration but not included in SIB19.</w:t>
      </w:r>
    </w:p>
    <w:p>
      <w:pPr>
        <w:spacing w:after="180" w:line="240" w:lineRule="auto"/>
        <w:textAlignment w:val="baseline"/>
        <w:rPr>
          <w:rFonts w:eastAsia="Malgun Gothic"/>
          <w:lang w:eastAsia="ko-KR"/>
        </w:rPr>
      </w:pPr>
      <w:r>
        <w:rPr>
          <w:rFonts w:eastAsia="Malgun Gothic"/>
          <w:lang w:eastAsia="ko-KR"/>
        </w:rPr>
        <w:t>In the quasi-earth fixed cell scenario, UE can perform time-based and location-based measurements on neighbour cells in RRC_IDLE/RRC_INACTIVE:</w:t>
      </w:r>
    </w:p>
    <w:p>
      <w:pPr>
        <w:overflowPunct w:val="0"/>
        <w:autoSpaceDE w:val="0"/>
        <w:autoSpaceDN w:val="0"/>
        <w:adjustRightInd w:val="0"/>
        <w:spacing w:after="180"/>
        <w:ind w:left="568" w:hanging="284"/>
        <w:textAlignment w:val="baseline"/>
        <w:rPr>
          <w:rFonts w:ascii="Times New Roman" w:hAnsi="Times New Roman" w:eastAsia="Malgun Gothic" w:cs="Times New Roman"/>
          <w:lang w:val="en-GB" w:eastAsia="ko-KR"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Malgun Gothic" w:cs="Times New Roman"/>
          <w:lang w:val="en-GB" w:eastAsia="ko-KR" w:bidi="ar-SA"/>
        </w:rPr>
        <w:t>The timing and location information associated to the serving cell is provided in SIB19;</w:t>
      </w:r>
    </w:p>
    <w:p>
      <w:pPr>
        <w:overflowPunct w:val="0"/>
        <w:autoSpaceDE w:val="0"/>
        <w:autoSpaceDN w:val="0"/>
        <w:adjustRightInd w:val="0"/>
        <w:spacing w:after="180"/>
        <w:ind w:left="568" w:hanging="284"/>
        <w:textAlignment w:val="baseline"/>
        <w:rPr>
          <w:rFonts w:ascii="Times New Roman" w:hAnsi="Times New Roman" w:eastAsia="Malgun Gothic" w:cs="Times New Roman"/>
          <w:lang w:val="en-GB" w:eastAsia="ko-KR"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Malgun Gothic" w:cs="Times New Roman"/>
          <w:lang w:val="en-GB" w:eastAsia="ko-KR" w:bidi="ar-SA"/>
        </w:rPr>
        <w:t>Timing information refers to the UTC time when the serving cell stops serving the current geographical area;</w:t>
      </w:r>
    </w:p>
    <w:p>
      <w:pPr>
        <w:overflowPunct w:val="0"/>
        <w:autoSpaceDE w:val="0"/>
        <w:autoSpaceDN w:val="0"/>
        <w:adjustRightInd w:val="0"/>
        <w:spacing w:after="180"/>
        <w:ind w:left="568" w:hanging="284"/>
        <w:textAlignment w:val="baseline"/>
        <w:rPr>
          <w:rFonts w:ascii="Times New Roman" w:hAnsi="Times New Roman" w:eastAsia="Malgun Gothic" w:cs="Times New Roman"/>
          <w:lang w:val="en-GB" w:eastAsia="ko-KR"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Malgun Gothic" w:cs="Times New Roman"/>
          <w:lang w:val="en-GB" w:eastAsia="ko-KR" w:bidi="ar-SA"/>
        </w:rPr>
        <w:t>Location information refers to the reference location of the serving cell and a distance threshold to the reference location.</w:t>
      </w:r>
    </w:p>
    <w:p>
      <w:pPr>
        <w:spacing w:after="180" w:line="240" w:lineRule="auto"/>
        <w:textAlignment w:val="baseline"/>
        <w:rPr>
          <w:rFonts w:eastAsia="Malgun Gothic"/>
          <w:lang w:eastAsia="ko-KR"/>
        </w:rPr>
      </w:pPr>
      <w:r>
        <w:rPr>
          <w:rFonts w:eastAsia="Malgun Gothic"/>
          <w:lang w:eastAsia="ko-KR"/>
        </w:rPr>
        <w:t>Measurement rules for cell re-selection based on timing information and location information are specified in clause 5.2.4.2 in TS 38.304 [10].</w:t>
      </w:r>
    </w:p>
    <w:p>
      <w:pPr>
        <w:tabs>
          <w:tab w:val="right" w:pos="10649"/>
        </w:tabs>
        <w:spacing w:before="44" w:beforeLines="0" w:afterLines="0"/>
        <w:jc w:val="left"/>
        <w:rPr>
          <w:rFonts w:hint="eastAsia"/>
          <w:lang w:val="en-US" w:eastAsia="zh-CN"/>
        </w:rPr>
      </w:pPr>
      <w:r>
        <w:rPr>
          <w:rFonts w:hint="eastAsia"/>
          <w:b w:val="0"/>
          <w:bCs w:val="0"/>
          <w:sz w:val="24"/>
          <w:szCs w:val="24"/>
          <w:lang w:val="en-US" w:eastAsia="zh-CN"/>
        </w:rPr>
        <w:t>---------------------------------------------------</w:t>
      </w:r>
      <w:r>
        <w:rPr>
          <w:rFonts w:hint="eastAsia"/>
          <w:b w:val="0"/>
          <w:bCs w:val="0"/>
          <w:sz w:val="20"/>
          <w:szCs w:val="20"/>
          <w:lang w:val="en-US" w:eastAsia="zh-CN"/>
        </w:rPr>
        <w:t xml:space="preserve"> 38.300-h30</w:t>
      </w:r>
      <w:r>
        <w:rPr>
          <w:rFonts w:hint="eastAsia"/>
          <w:b w:val="0"/>
          <w:bCs w:val="0"/>
          <w:sz w:val="24"/>
          <w:szCs w:val="24"/>
          <w:lang w:val="en-US" w:eastAsia="zh-CN"/>
        </w:rPr>
        <w:t xml:space="preserve"> ---------------------------------------------</w:t>
      </w:r>
    </w:p>
    <w:p>
      <w:pPr>
        <w:rPr>
          <w:rFonts w:hint="eastAsia"/>
          <w:lang w:val="en-US" w:eastAsia="zh-CN"/>
        </w:rPr>
      </w:pPr>
      <w:r>
        <w:rPr>
          <w:rFonts w:hint="eastAsia"/>
          <w:lang w:val="en-US" w:eastAsia="zh-CN"/>
        </w:rPr>
        <w:t>During post-meeting email discussion of NTN stage 2 CR, there are some discussion on how UE performs  neighboring cell measurements when some cells are presented in SIB19 but not in Measurement configuration (i.e., in measObjectNR) or not in SIB4. Due to limit time left to clarify the required information needed for neighboring cell measurements, above highlighted sentence are added which suggest to leave the issue to implementation. However considering neighboring cell measurements are important feature for UE mobility management, it is preferred to further clarify the required information for UE to perform measurements based on the liaisons among WGs, and discuss if UE implementation is good enough for this purpose.</w:t>
      </w:r>
    </w:p>
    <w:p>
      <w:pPr>
        <w:rPr>
          <w:rFonts w:hint="eastAsia"/>
          <w:b/>
          <w:bCs/>
          <w:lang w:val="en-US" w:eastAsia="zh-CN"/>
        </w:rPr>
      </w:pPr>
      <w:r>
        <w:rPr>
          <w:rFonts w:hint="eastAsia"/>
          <w:b/>
          <w:bCs/>
          <w:lang w:val="en-US" w:eastAsia="zh-CN"/>
        </w:rPr>
        <w:t>Observation 1: UE implementation is used for handling the issues when some cells are presented in SIB19 but not in Measurement configuration (i.e., in measObjectNR) or not in SIB4, which is compromise due to limit time for companies to check the required information for performing measurements.</w:t>
      </w:r>
    </w:p>
    <w:p>
      <w:pPr>
        <w:rPr>
          <w:rFonts w:hint="default"/>
          <w:b/>
          <w:bCs/>
          <w:lang w:val="en-US" w:eastAsia="zh-CN"/>
        </w:rPr>
      </w:pPr>
      <w:r>
        <w:rPr>
          <w:rFonts w:hint="eastAsia"/>
          <w:b/>
          <w:bCs/>
          <w:lang w:val="en-US" w:eastAsia="zh-CN"/>
        </w:rPr>
        <w:t>Observation 2: RAN2 can further discuss if UE implementation is good enough after clarifying the required information for NTN neighboring cell measurements.</w:t>
      </w:r>
    </w:p>
    <w:p>
      <w:pPr>
        <w:tabs>
          <w:tab w:val="right" w:pos="10649"/>
        </w:tabs>
        <w:spacing w:before="44" w:beforeLines="0" w:afterLines="0"/>
        <w:jc w:val="left"/>
        <w:rPr>
          <w:rFonts w:hint="default" w:ascii="Arial" w:hAnsi="Arial" w:cs="Arial"/>
          <w:b/>
          <w:bCs/>
          <w:i/>
          <w:iCs/>
          <w:color w:val="auto"/>
          <w:sz w:val="24"/>
          <w:szCs w:val="24"/>
          <w:highlight w:val="none"/>
          <w:u w:val="single"/>
          <w:lang w:val="en-US" w:eastAsia="zh-CN"/>
        </w:rPr>
      </w:pPr>
      <w:r>
        <w:rPr>
          <w:rFonts w:hint="eastAsia" w:ascii="Arial" w:hAnsi="Arial" w:cs="Arial"/>
          <w:b/>
          <w:bCs/>
          <w:i/>
          <w:iCs/>
          <w:color w:val="auto"/>
          <w:sz w:val="24"/>
          <w:szCs w:val="24"/>
          <w:highlight w:val="none"/>
          <w:u w:val="single"/>
          <w:lang w:val="en-US" w:eastAsia="zh-CN"/>
        </w:rPr>
        <w:t>For idle/inactive neighboring cell measurement</w:t>
      </w:r>
    </w:p>
    <w:p>
      <w:pPr>
        <w:bidi w:val="0"/>
        <w:rPr>
          <w:rFonts w:hint="default"/>
          <w:lang w:val="en-US" w:eastAsia="zh-CN"/>
        </w:rPr>
      </w:pPr>
      <w:r>
        <w:rPr>
          <w:rFonts w:hint="eastAsia"/>
          <w:lang w:val="en-US" w:eastAsia="zh-CN"/>
        </w:rPr>
        <w:t>There are some exchanges among different WGs (RAN1/RAN2 and RAN4) on required information required for neighboring cell measurements and mobility purpose (e.g., handover)., where the liasons exchanged are given in below table:</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503" w:type="dxa"/>
          </w:tcPr>
          <w:p>
            <w:pPr>
              <w:keepNext w:val="0"/>
              <w:keepLines w:val="0"/>
              <w:widowControl/>
              <w:suppressLineNumbers w:val="0"/>
              <w:bidi w:val="0"/>
              <w:spacing w:before="0" w:beforeAutospacing="0" w:afterAutospacing="0"/>
              <w:ind w:left="0" w:right="0"/>
              <w:rPr>
                <w:rFonts w:hint="default"/>
                <w:sz w:val="20"/>
                <w:szCs w:val="20"/>
                <w:lang w:val="en-US" w:eastAsia="zh-CN"/>
              </w:rPr>
            </w:pPr>
            <w:r>
              <w:rPr>
                <w:rFonts w:hint="eastAsia"/>
                <w:sz w:val="20"/>
                <w:szCs w:val="20"/>
                <w:lang w:val="en-US" w:eastAsia="zh-CN"/>
              </w:rPr>
              <w:t xml:space="preserve">RAN4 trigger the question in </w:t>
            </w:r>
            <w:r>
              <w:rPr>
                <w:rFonts w:hint="default"/>
                <w:color w:val="0000FF"/>
                <w:sz w:val="20"/>
                <w:szCs w:val="20"/>
                <w:highlight w:val="yellow"/>
                <w:lang w:val="en-US"/>
              </w:rPr>
              <w:t>R2-2200129</w:t>
            </w:r>
            <w:r>
              <w:rPr>
                <w:rFonts w:hint="eastAsia"/>
                <w:color w:val="0000FF"/>
                <w:sz w:val="20"/>
                <w:szCs w:val="20"/>
                <w:highlight w:val="yellow"/>
                <w:lang w:val="en-US" w:eastAsia="zh-CN"/>
              </w:rPr>
              <w:t xml:space="preserve"> </w:t>
            </w:r>
            <w:r>
              <w:rPr>
                <w:rFonts w:hint="eastAsia"/>
                <w:sz w:val="20"/>
                <w:szCs w:val="20"/>
                <w:lang w:val="en-US" w:eastAsia="zh-CN"/>
              </w:rPr>
              <w:t>on what</w:t>
            </w:r>
            <w:r>
              <w:rPr>
                <w:rFonts w:hint="default"/>
                <w:sz w:val="20"/>
                <w:szCs w:val="20"/>
                <w:lang w:val="en-US" w:eastAsia="zh-CN"/>
              </w:rPr>
              <w:t>’</w:t>
            </w:r>
            <w:r>
              <w:rPr>
                <w:rFonts w:hint="eastAsia"/>
                <w:sz w:val="20"/>
                <w:szCs w:val="20"/>
                <w:lang w:val="en-US" w:eastAsia="zh-CN"/>
              </w:rPr>
              <w:t>s needed parameters on measurements and mobility and the availability of such information in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03" w:type="dxa"/>
          </w:tcPr>
          <w:p>
            <w:pPr>
              <w:keepNext w:val="0"/>
              <w:keepLines w:val="0"/>
              <w:widowControl/>
              <w:numPr>
                <w:ilvl w:val="0"/>
                <w:numId w:val="0"/>
              </w:numPr>
              <w:suppressLineNumbers w:val="0"/>
              <w:spacing w:before="0" w:beforeAutospacing="0" w:afterAutospacing="0"/>
              <w:ind w:left="0" w:right="0"/>
              <w:rPr>
                <w:rStyle w:val="59"/>
                <w:rFonts w:hint="default" w:ascii="Calibri" w:hAnsi="Calibri" w:cs="Calibri"/>
                <w:i w:val="0"/>
                <w:caps w:val="0"/>
                <w:color w:val="000000"/>
                <w:spacing w:val="0"/>
                <w:sz w:val="21"/>
                <w:szCs w:val="21"/>
                <w:shd w:val="clear" w:fill="FFFFFF"/>
                <w:lang w:val="en-US" w:eastAsia="zh-CN"/>
              </w:rPr>
            </w:pPr>
            <w:r>
              <w:rPr>
                <w:rFonts w:hint="eastAsia"/>
                <w:sz w:val="20"/>
                <w:szCs w:val="20"/>
                <w:lang w:val="en-US" w:eastAsia="zh-CN"/>
              </w:rPr>
              <w:t xml:space="preserve">RAN2 reply LS in </w:t>
            </w:r>
            <w:r>
              <w:rPr>
                <w:rFonts w:hint="default"/>
                <w:color w:val="0000FF"/>
                <w:sz w:val="20"/>
                <w:szCs w:val="20"/>
                <w:highlight w:val="yellow"/>
                <w:lang w:val="en-US"/>
              </w:rPr>
              <w:t>R2-2201884</w:t>
            </w:r>
            <w:r>
              <w:rPr>
                <w:rStyle w:val="59"/>
                <w:rFonts w:hint="eastAsia" w:ascii="Calibri" w:hAnsi="Calibri" w:cs="Calibri"/>
                <w:i w:val="0"/>
                <w:caps w:val="0"/>
                <w:color w:val="0000FF"/>
                <w:spacing w:val="0"/>
                <w:sz w:val="21"/>
                <w:szCs w:val="21"/>
                <w:highlight w:val="yellow"/>
                <w:shd w:val="clear" w:fill="FFFFFF"/>
                <w:lang w:val="en-US" w:eastAsia="zh-CN"/>
              </w:rPr>
              <w:t xml:space="preserve"> ,</w:t>
            </w:r>
            <w:r>
              <w:rPr>
                <w:rFonts w:hint="eastAsia"/>
                <w:sz w:val="20"/>
                <w:szCs w:val="20"/>
                <w:lang w:val="en-US" w:eastAsia="zh-CN"/>
              </w:rPr>
              <w:t xml:space="preserve"> which gives answers to RAN4</w:t>
            </w:r>
            <w:r>
              <w:rPr>
                <w:rFonts w:hint="default"/>
                <w:sz w:val="20"/>
                <w:szCs w:val="20"/>
                <w:lang w:val="en-US" w:eastAsia="zh-CN"/>
              </w:rPr>
              <w:t>’</w:t>
            </w:r>
            <w:r>
              <w:rPr>
                <w:rFonts w:hint="eastAsia"/>
                <w:sz w:val="20"/>
                <w:szCs w:val="20"/>
                <w:lang w:val="en-US" w:eastAsia="zh-CN"/>
              </w:rPr>
              <w:t xml:space="preserve">s questions. </w:t>
            </w:r>
          </w:p>
          <w:p>
            <w:pPr>
              <w:keepNext w:val="0"/>
              <w:keepLines w:val="0"/>
              <w:widowControl/>
              <w:suppressLineNumbers w:val="0"/>
              <w:overflowPunct/>
              <w:autoSpaceDE/>
              <w:autoSpaceDN/>
              <w:adjustRightInd/>
              <w:spacing w:before="0" w:beforeAutospacing="0" w:after="0" w:afterAutospacing="0" w:line="240" w:lineRule="auto"/>
              <w:ind w:left="0" w:right="0"/>
              <w:rPr>
                <w:rFonts w:hint="default" w:ascii="Times New Roman" w:hAnsi="Times New Roman" w:cs="Times New Roman"/>
                <w:color w:val="000000"/>
                <w:sz w:val="20"/>
                <w:szCs w:val="20"/>
                <w:lang w:eastAsia="ko-KR"/>
              </w:rPr>
            </w:pPr>
            <w:r>
              <w:rPr>
                <w:rFonts w:hint="default" w:ascii="Times New Roman" w:hAnsi="Times New Roman" w:cs="Times New Roman"/>
                <w:color w:val="000000"/>
                <w:sz w:val="20"/>
                <w:szCs w:val="20"/>
                <w:lang w:eastAsia="ko-KR"/>
              </w:rPr>
              <w:t>Question-1: Would the parameters listed above be relevant to measurements and mobility? If the answer is dependent on satellite types, e.g. GSO and NGSO, and RRC state, what would be the answers to the respective satellite types?</w:t>
            </w:r>
          </w:p>
          <w:p>
            <w:pPr>
              <w:keepNext w:val="0"/>
              <w:keepLines w:val="0"/>
              <w:widowControl/>
              <w:suppressLineNumbers w:val="0"/>
              <w:overflowPunct/>
              <w:autoSpaceDE/>
              <w:autoSpaceDN/>
              <w:adjustRightInd/>
              <w:spacing w:before="0" w:beforeAutospacing="0" w:after="0" w:afterAutospacing="0" w:line="240" w:lineRule="auto"/>
              <w:ind w:left="0" w:right="0"/>
              <w:rPr>
                <w:rFonts w:hint="default" w:ascii="Times New Roman" w:hAnsi="Times New Roman" w:cs="Times New Roman"/>
                <w:color w:val="0070C0"/>
                <w:sz w:val="20"/>
                <w:szCs w:val="20"/>
                <w:highlight w:val="yellow"/>
                <w:lang w:eastAsia="ko-KR"/>
              </w:rPr>
            </w:pPr>
            <w:r>
              <w:rPr>
                <w:rFonts w:hint="default" w:ascii="Times New Roman" w:hAnsi="Times New Roman" w:cs="Times New Roman"/>
                <w:color w:val="0070C0"/>
                <w:sz w:val="20"/>
                <w:szCs w:val="20"/>
                <w:lang w:eastAsia="ko-KR"/>
              </w:rPr>
              <w:t>RAN2 answer</w:t>
            </w:r>
            <w:r>
              <w:rPr>
                <w:rFonts w:hint="default" w:ascii="Times New Roman" w:hAnsi="Times New Roman" w:cs="Times New Roman"/>
                <w:color w:val="0070C0"/>
                <w:sz w:val="20"/>
                <w:szCs w:val="20"/>
                <w:highlight w:val="none"/>
                <w:lang w:eastAsia="ko-KR"/>
              </w:rPr>
              <w:t xml:space="preserve">: For measurement purpose, SMTCs, ephemeris, epoch time and DL polarization information would be relevant regardless of satellite types and RRC state. </w:t>
            </w:r>
          </w:p>
          <w:p>
            <w:pPr>
              <w:keepNext w:val="0"/>
              <w:keepLines w:val="0"/>
              <w:widowControl/>
              <w:suppressLineNumbers w:val="0"/>
              <w:overflowPunct/>
              <w:autoSpaceDE/>
              <w:autoSpaceDN/>
              <w:adjustRightInd/>
              <w:spacing w:before="0" w:beforeAutospacing="0" w:after="0" w:afterAutospacing="0" w:line="240" w:lineRule="auto"/>
              <w:ind w:left="0" w:right="0"/>
              <w:rPr>
                <w:rFonts w:hint="default" w:ascii="Times New Roman" w:hAnsi="Times New Roman" w:cs="Times New Roman"/>
                <w:color w:val="0070C0"/>
                <w:sz w:val="20"/>
                <w:szCs w:val="20"/>
                <w:lang w:eastAsia="ko-KR"/>
              </w:rPr>
            </w:pPr>
          </w:p>
          <w:p>
            <w:pPr>
              <w:keepNext w:val="0"/>
              <w:keepLines w:val="0"/>
              <w:widowControl/>
              <w:suppressLineNumbers w:val="0"/>
              <w:overflowPunct/>
              <w:autoSpaceDE/>
              <w:autoSpaceDN/>
              <w:adjustRightInd/>
              <w:spacing w:before="0" w:beforeAutospacing="0" w:after="0" w:afterAutospacing="0" w:line="240" w:lineRule="auto"/>
              <w:ind w:left="0" w:right="0"/>
              <w:rPr>
                <w:rFonts w:hint="default" w:ascii="Times New Roman" w:hAnsi="Times New Roman" w:cs="Times New Roman"/>
                <w:color w:val="0070C0"/>
                <w:sz w:val="20"/>
                <w:szCs w:val="20"/>
                <w:lang w:eastAsia="ko-KR"/>
              </w:rPr>
            </w:pPr>
            <w:r>
              <w:rPr>
                <w:rFonts w:hint="default" w:ascii="Times New Roman" w:hAnsi="Times New Roman" w:cs="Times New Roman"/>
                <w:color w:val="0070C0"/>
                <w:sz w:val="20"/>
                <w:szCs w:val="20"/>
                <w:lang w:eastAsia="ko-KR"/>
              </w:rPr>
              <w:t xml:space="preserve">RAN2 has agreed the assumption that feeder link delay is known to and compensated by the network. The network can compensate feeder link delay to configure SMTCs to UEs in the connected mode. In addition, RAN2 has agreed for IDLE mode measurements that UE autonomously adjusts the SMTCs based on location and ephemeris. It is FFS whether network assistance information is provided to UEs. </w:t>
            </w:r>
          </w:p>
          <w:p>
            <w:pPr>
              <w:keepNext w:val="0"/>
              <w:keepLines w:val="0"/>
              <w:widowControl/>
              <w:suppressLineNumbers w:val="0"/>
              <w:overflowPunct/>
              <w:autoSpaceDE/>
              <w:autoSpaceDN/>
              <w:adjustRightInd/>
              <w:spacing w:before="0" w:beforeAutospacing="0" w:after="0" w:afterAutospacing="0" w:line="240" w:lineRule="auto"/>
              <w:ind w:left="0" w:right="0"/>
              <w:rPr>
                <w:rFonts w:hint="default" w:ascii="Times New Roman" w:hAnsi="Times New Roman" w:cs="Times New Roman"/>
                <w:color w:val="0070C0"/>
                <w:sz w:val="20"/>
                <w:szCs w:val="20"/>
                <w:lang w:eastAsia="ko-KR"/>
              </w:rPr>
            </w:pPr>
          </w:p>
          <w:p>
            <w:pPr>
              <w:keepNext w:val="0"/>
              <w:keepLines w:val="0"/>
              <w:widowControl/>
              <w:suppressLineNumbers w:val="0"/>
              <w:overflowPunct/>
              <w:autoSpaceDE/>
              <w:autoSpaceDN/>
              <w:adjustRightInd/>
              <w:spacing w:before="0" w:beforeAutospacing="0" w:after="0" w:afterAutospacing="0" w:line="240" w:lineRule="auto"/>
              <w:ind w:left="0" w:right="0"/>
              <w:rPr>
                <w:rFonts w:hint="default" w:ascii="Times New Roman" w:hAnsi="Times New Roman" w:cs="Times New Roman"/>
                <w:color w:val="0070C0"/>
                <w:sz w:val="20"/>
                <w:szCs w:val="20"/>
                <w:lang w:eastAsia="ko-KR"/>
              </w:rPr>
            </w:pPr>
            <w:r>
              <w:rPr>
                <w:rFonts w:hint="default" w:ascii="Times New Roman" w:hAnsi="Times New Roman" w:cs="Times New Roman"/>
                <w:color w:val="0070C0"/>
                <w:sz w:val="20"/>
                <w:szCs w:val="20"/>
                <w:lang w:eastAsia="ko-KR"/>
              </w:rPr>
              <w:t>RAN2 think feeder link delay (i.e., common TA and K_MAC) of the neighbor cell should also be provided to UE for neighbor cell SMTC adjustment. However, RAN1 feedback is needed to decide whether common TA parameters (</w:t>
            </w:r>
            <w:r>
              <w:rPr>
                <w:rFonts w:hint="default" w:ascii="Times New Roman" w:hAnsi="Times New Roman" w:cs="Times New Roman"/>
                <w:i/>
                <w:iCs/>
                <w:color w:val="0070C0"/>
                <w:sz w:val="20"/>
                <w:szCs w:val="20"/>
                <w:lang w:eastAsia="ko-KR"/>
              </w:rPr>
              <w:t>TACommon</w:t>
            </w:r>
            <w:r>
              <w:rPr>
                <w:rFonts w:hint="default" w:ascii="Times New Roman" w:hAnsi="Times New Roman" w:cs="Times New Roman"/>
                <w:color w:val="0070C0"/>
                <w:sz w:val="20"/>
                <w:szCs w:val="20"/>
                <w:lang w:eastAsia="ko-KR"/>
              </w:rPr>
              <w:t xml:space="preserve">, </w:t>
            </w:r>
            <w:r>
              <w:rPr>
                <w:rFonts w:hint="default" w:ascii="Times New Roman" w:hAnsi="Times New Roman" w:cs="Times New Roman"/>
                <w:i/>
                <w:iCs/>
                <w:color w:val="0070C0"/>
                <w:sz w:val="20"/>
                <w:szCs w:val="20"/>
                <w:lang w:eastAsia="ko-KR"/>
              </w:rPr>
              <w:t>TACommonDrift</w:t>
            </w:r>
            <w:r>
              <w:rPr>
                <w:rFonts w:hint="default" w:ascii="Times New Roman" w:hAnsi="Times New Roman" w:cs="Times New Roman"/>
                <w:color w:val="0070C0"/>
                <w:sz w:val="20"/>
                <w:szCs w:val="20"/>
                <w:lang w:eastAsia="ko-KR"/>
              </w:rPr>
              <w:t xml:space="preserve">, </w:t>
            </w:r>
            <w:r>
              <w:rPr>
                <w:rFonts w:hint="default" w:ascii="Times New Roman" w:hAnsi="Times New Roman" w:cs="Times New Roman"/>
                <w:i/>
                <w:iCs/>
                <w:color w:val="0070C0"/>
                <w:sz w:val="20"/>
                <w:szCs w:val="20"/>
                <w:lang w:eastAsia="ko-KR"/>
              </w:rPr>
              <w:t>TACommonDriftVariation</w:t>
            </w:r>
            <w:r>
              <w:rPr>
                <w:rFonts w:hint="default" w:ascii="Times New Roman" w:hAnsi="Times New Roman" w:cs="Times New Roman"/>
                <w:color w:val="0070C0"/>
                <w:sz w:val="20"/>
                <w:szCs w:val="20"/>
                <w:lang w:eastAsia="ko-KR"/>
              </w:rPr>
              <w:t xml:space="preserve"> and [</w:t>
            </w:r>
            <w:r>
              <w:rPr>
                <w:rFonts w:hint="default" w:ascii="Times New Roman" w:hAnsi="Times New Roman" w:cs="Times New Roman"/>
                <w:i/>
                <w:iCs/>
                <w:color w:val="0070C0"/>
                <w:sz w:val="20"/>
                <w:szCs w:val="20"/>
                <w:lang w:eastAsia="ko-KR"/>
              </w:rPr>
              <w:t>TACommonThirdOrder</w:t>
            </w:r>
            <w:r>
              <w:rPr>
                <w:rFonts w:hint="default" w:ascii="Times New Roman" w:hAnsi="Times New Roman" w:cs="Times New Roman"/>
                <w:color w:val="0070C0"/>
                <w:sz w:val="20"/>
                <w:szCs w:val="20"/>
                <w:lang w:eastAsia="ko-KR"/>
              </w:rPr>
              <w:t xml:space="preserve">]) of the neighbor cells need to be provided to the UEs for neighbor cell measurements. </w:t>
            </w:r>
          </w:p>
          <w:p>
            <w:pPr>
              <w:keepNext w:val="0"/>
              <w:keepLines w:val="0"/>
              <w:widowControl/>
              <w:suppressLineNumbers w:val="0"/>
              <w:overflowPunct/>
              <w:autoSpaceDE/>
              <w:autoSpaceDN/>
              <w:adjustRightInd/>
              <w:spacing w:before="0" w:beforeAutospacing="0" w:after="0" w:afterAutospacing="0" w:line="240" w:lineRule="auto"/>
              <w:ind w:left="0" w:right="0"/>
              <w:rPr>
                <w:rFonts w:hint="default" w:ascii="Times New Roman" w:hAnsi="Times New Roman" w:cs="Times New Roman"/>
                <w:color w:val="0070C0"/>
                <w:sz w:val="20"/>
                <w:szCs w:val="20"/>
                <w:lang w:eastAsia="ko-KR"/>
              </w:rPr>
            </w:pPr>
          </w:p>
          <w:p>
            <w:pPr>
              <w:keepNext w:val="0"/>
              <w:keepLines w:val="0"/>
              <w:widowControl/>
              <w:suppressLineNumbers w:val="0"/>
              <w:overflowPunct/>
              <w:autoSpaceDE/>
              <w:autoSpaceDN/>
              <w:adjustRightInd/>
              <w:spacing w:before="0" w:beforeAutospacing="0" w:after="0" w:afterAutospacing="0" w:line="240" w:lineRule="auto"/>
              <w:ind w:left="0" w:right="0"/>
              <w:rPr>
                <w:rFonts w:hint="default" w:ascii="Times New Roman" w:hAnsi="Times New Roman" w:cs="Times New Roman"/>
                <w:color w:val="0070C0"/>
                <w:sz w:val="20"/>
                <w:szCs w:val="20"/>
                <w:lang w:eastAsia="ko-KR"/>
              </w:rPr>
            </w:pPr>
            <w:r>
              <w:rPr>
                <w:rFonts w:hint="default" w:ascii="Times New Roman" w:hAnsi="Times New Roman" w:cs="Times New Roman"/>
                <w:color w:val="0070C0"/>
                <w:sz w:val="20"/>
                <w:szCs w:val="20"/>
                <w:lang w:eastAsia="ko-KR"/>
              </w:rPr>
              <w:t>RAN2 assumes it is up to network whether to use PVT format or Keplerian format for both serving and neighbor cells. RAN1 feedback is needed to decide whether the validity timer information for serving and neighbor/target cell needs to be different or whether there will be separate validity timers for PVT parameters and orbital parameters.</w:t>
            </w:r>
          </w:p>
          <w:p>
            <w:pPr>
              <w:keepNext w:val="0"/>
              <w:keepLines w:val="0"/>
              <w:widowControl/>
              <w:suppressLineNumbers w:val="0"/>
              <w:overflowPunct/>
              <w:autoSpaceDE/>
              <w:autoSpaceDN/>
              <w:adjustRightInd/>
              <w:spacing w:before="0" w:beforeAutospacing="0" w:after="0" w:afterAutospacing="0" w:line="240" w:lineRule="auto"/>
              <w:ind w:left="0" w:right="0"/>
              <w:rPr>
                <w:rFonts w:hint="default" w:ascii="Times New Roman" w:hAnsi="Times New Roman" w:cs="Times New Roman"/>
                <w:color w:val="0070C0"/>
                <w:sz w:val="20"/>
                <w:szCs w:val="20"/>
                <w:lang w:eastAsia="ko-KR"/>
              </w:rPr>
            </w:pPr>
          </w:p>
          <w:p>
            <w:pPr>
              <w:keepNext w:val="0"/>
              <w:keepLines w:val="0"/>
              <w:widowControl/>
              <w:suppressLineNumbers w:val="0"/>
              <w:overflowPunct/>
              <w:autoSpaceDE/>
              <w:autoSpaceDN/>
              <w:adjustRightInd/>
              <w:spacing w:before="0" w:beforeAutospacing="0" w:after="0" w:afterAutospacing="0" w:line="240" w:lineRule="auto"/>
              <w:ind w:left="0" w:right="0"/>
              <w:rPr>
                <w:rFonts w:hint="default" w:ascii="Times New Roman" w:hAnsi="Times New Roman" w:cs="Times New Roman"/>
                <w:color w:val="0070C0"/>
                <w:sz w:val="20"/>
                <w:szCs w:val="20"/>
                <w:lang w:eastAsia="ko-KR"/>
              </w:rPr>
            </w:pPr>
            <w:r>
              <w:rPr>
                <w:rFonts w:hint="default" w:ascii="Times New Roman" w:hAnsi="Times New Roman" w:cs="Times New Roman"/>
                <w:color w:val="0070C0"/>
                <w:sz w:val="20"/>
                <w:szCs w:val="20"/>
                <w:lang w:eastAsia="ko-KR"/>
              </w:rPr>
              <w:t>RAN1-107e had made the conclusion that DL frequency compensation by gNB for the service link Doppler is not supported in Release 17, therefore, (A4) and (B4) are not needed.</w:t>
            </w:r>
          </w:p>
          <w:p>
            <w:pPr>
              <w:keepNext w:val="0"/>
              <w:keepLines w:val="0"/>
              <w:widowControl/>
              <w:suppressLineNumbers w:val="0"/>
              <w:overflowPunct/>
              <w:autoSpaceDE/>
              <w:autoSpaceDN/>
              <w:adjustRightInd/>
              <w:spacing w:before="0" w:beforeAutospacing="0" w:after="0" w:afterAutospacing="0" w:line="240" w:lineRule="auto"/>
              <w:ind w:left="0" w:right="0"/>
              <w:rPr>
                <w:rFonts w:hint="default" w:ascii="Times New Roman" w:hAnsi="Times New Roman" w:cs="Times New Roman"/>
                <w:color w:val="0070C0"/>
                <w:sz w:val="20"/>
                <w:szCs w:val="20"/>
                <w:lang w:eastAsia="ko-KR"/>
              </w:rPr>
            </w:pPr>
          </w:p>
          <w:p>
            <w:pPr>
              <w:keepNext w:val="0"/>
              <w:keepLines w:val="0"/>
              <w:widowControl/>
              <w:suppressLineNumbers w:val="0"/>
              <w:overflowPunct/>
              <w:autoSpaceDE/>
              <w:autoSpaceDN/>
              <w:adjustRightInd/>
              <w:spacing w:before="0" w:beforeAutospacing="0" w:after="0" w:afterAutospacing="0" w:line="240" w:lineRule="auto"/>
              <w:ind w:left="0" w:right="0"/>
              <w:rPr>
                <w:rFonts w:hint="default" w:ascii="Times New Roman" w:hAnsi="Times New Roman" w:cs="Times New Roman"/>
                <w:color w:val="0070C0"/>
                <w:sz w:val="20"/>
                <w:szCs w:val="20"/>
                <w:lang w:eastAsia="ko-KR"/>
              </w:rPr>
            </w:pPr>
            <w:r>
              <w:rPr>
                <w:rFonts w:hint="default" w:ascii="Times New Roman" w:hAnsi="Times New Roman" w:cs="Times New Roman"/>
                <w:color w:val="0070C0"/>
                <w:sz w:val="20"/>
                <w:szCs w:val="20"/>
                <w:lang w:eastAsia="ko-KR"/>
              </w:rPr>
              <w:t>For handover, a UE would need those parameters listed in the LS regardless of satellite types except (B4).</w:t>
            </w:r>
          </w:p>
          <w:p>
            <w:pPr>
              <w:keepNext w:val="0"/>
              <w:keepLines w:val="0"/>
              <w:widowControl/>
              <w:suppressLineNumbers w:val="0"/>
              <w:overflowPunct/>
              <w:autoSpaceDE/>
              <w:autoSpaceDN/>
              <w:adjustRightInd/>
              <w:spacing w:before="0" w:beforeAutospacing="0" w:after="0" w:afterAutospacing="0" w:line="240" w:lineRule="auto"/>
              <w:ind w:left="0" w:right="0"/>
              <w:rPr>
                <w:rFonts w:hint="default" w:ascii="Times New Roman" w:hAnsi="Times New Roman" w:cs="Times New Roman"/>
                <w:color w:val="000000"/>
                <w:sz w:val="20"/>
                <w:szCs w:val="20"/>
                <w:lang w:eastAsia="ko-KR"/>
              </w:rPr>
            </w:pPr>
          </w:p>
          <w:p>
            <w:pPr>
              <w:keepNext w:val="0"/>
              <w:keepLines w:val="0"/>
              <w:widowControl/>
              <w:suppressLineNumbers w:val="0"/>
              <w:overflowPunct/>
              <w:autoSpaceDE/>
              <w:autoSpaceDN/>
              <w:adjustRightInd/>
              <w:spacing w:before="0" w:beforeAutospacing="0" w:after="0" w:afterAutospacing="0" w:line="240" w:lineRule="auto"/>
              <w:ind w:left="0" w:right="0"/>
              <w:rPr>
                <w:rFonts w:hint="default" w:ascii="Times New Roman" w:hAnsi="Times New Roman" w:cs="Times New Roman"/>
                <w:color w:val="000000"/>
                <w:sz w:val="20"/>
                <w:szCs w:val="20"/>
                <w:lang w:eastAsia="ko-KR"/>
              </w:rPr>
            </w:pPr>
            <w:r>
              <w:rPr>
                <w:rFonts w:hint="default" w:ascii="Times New Roman" w:hAnsi="Times New Roman" w:cs="Times New Roman"/>
                <w:color w:val="000000"/>
                <w:sz w:val="20"/>
                <w:szCs w:val="20"/>
                <w:lang w:eastAsia="ko-KR"/>
              </w:rPr>
              <w:t>Question-2: Would there be parameters that are not listed but necessary for measurements and mobility from RAN2 perspective? If the answer is dependent on satellite types, e.g. GSO and NGSO, and RRC state, what would be the answers to the respective satellite types?</w:t>
            </w:r>
          </w:p>
          <w:p>
            <w:pPr>
              <w:keepNext w:val="0"/>
              <w:keepLines w:val="0"/>
              <w:widowControl/>
              <w:suppressLineNumbers w:val="0"/>
              <w:overflowPunct/>
              <w:autoSpaceDE/>
              <w:autoSpaceDN/>
              <w:adjustRightInd/>
              <w:spacing w:before="0" w:beforeAutospacing="0" w:after="0" w:afterAutospacing="0" w:line="240" w:lineRule="auto"/>
              <w:ind w:left="0" w:right="0"/>
              <w:rPr>
                <w:rFonts w:hint="default" w:ascii="Times New Roman" w:hAnsi="Times New Roman" w:cs="Times New Roman"/>
                <w:color w:val="0070C0"/>
                <w:sz w:val="20"/>
                <w:szCs w:val="20"/>
                <w:lang w:eastAsia="ko-KR"/>
              </w:rPr>
            </w:pPr>
            <w:r>
              <w:rPr>
                <w:rFonts w:hint="default" w:ascii="Times New Roman" w:hAnsi="Times New Roman" w:cs="Times New Roman"/>
                <w:color w:val="0070C0"/>
                <w:sz w:val="20"/>
                <w:szCs w:val="20"/>
                <w:lang w:eastAsia="ko-KR"/>
              </w:rPr>
              <w:t>RAN2 answer: For neighbor cell measurement, please see the response to the Question 1. Additionally for IDLE mode measurement trigger in NGSO fixed cell, (A6): serving cell stop time and reference location are also needed.</w:t>
            </w:r>
          </w:p>
          <w:p>
            <w:pPr>
              <w:keepNext w:val="0"/>
              <w:keepLines w:val="0"/>
              <w:widowControl/>
              <w:suppressLineNumbers w:val="0"/>
              <w:overflowPunct/>
              <w:autoSpaceDE/>
              <w:autoSpaceDN/>
              <w:adjustRightInd/>
              <w:spacing w:before="0" w:beforeAutospacing="0" w:after="0" w:afterAutospacing="0" w:line="240" w:lineRule="auto"/>
              <w:ind w:left="0" w:right="0"/>
              <w:rPr>
                <w:rFonts w:hint="default" w:ascii="Times New Roman" w:hAnsi="Times New Roman" w:cs="Times New Roman"/>
                <w:color w:val="0070C0"/>
                <w:sz w:val="20"/>
                <w:szCs w:val="20"/>
                <w:lang w:eastAsia="ko-KR"/>
              </w:rPr>
            </w:pPr>
            <w:r>
              <w:rPr>
                <w:rFonts w:hint="default" w:ascii="Times New Roman" w:hAnsi="Times New Roman" w:cs="Times New Roman"/>
                <w:color w:val="0070C0"/>
                <w:sz w:val="20"/>
                <w:szCs w:val="20"/>
                <w:lang w:eastAsia="ko-KR"/>
              </w:rPr>
              <w:t>For handover, following additional parameters are also needed.</w:t>
            </w:r>
          </w:p>
          <w:p>
            <w:pPr>
              <w:keepNext w:val="0"/>
              <w:keepLines w:val="0"/>
              <w:widowControl/>
              <w:suppressLineNumbers w:val="0"/>
              <w:overflowPunct/>
              <w:autoSpaceDE/>
              <w:autoSpaceDN/>
              <w:adjustRightInd/>
              <w:spacing w:before="0" w:beforeAutospacing="0" w:after="0" w:afterAutospacing="0" w:line="240" w:lineRule="auto"/>
              <w:ind w:left="0" w:right="0"/>
              <w:rPr>
                <w:rFonts w:hint="default" w:ascii="Times New Roman" w:hAnsi="Times New Roman" w:cs="Times New Roman"/>
                <w:color w:val="0070C0"/>
                <w:sz w:val="20"/>
                <w:szCs w:val="20"/>
                <w:lang w:eastAsia="ko-KR"/>
              </w:rPr>
            </w:pPr>
            <w:r>
              <w:rPr>
                <w:rFonts w:hint="default" w:ascii="Times New Roman" w:hAnsi="Times New Roman" w:cs="Times New Roman"/>
                <w:color w:val="0070C0"/>
                <w:sz w:val="20"/>
                <w:szCs w:val="20"/>
                <w:lang w:eastAsia="ko-KR"/>
              </w:rPr>
              <w:t xml:space="preserve"> (B7): Epoch time of the ephemeris</w:t>
            </w:r>
          </w:p>
          <w:p>
            <w:pPr>
              <w:keepNext w:val="0"/>
              <w:keepLines w:val="0"/>
              <w:widowControl/>
              <w:suppressLineNumbers w:val="0"/>
              <w:overflowPunct/>
              <w:autoSpaceDE/>
              <w:autoSpaceDN/>
              <w:adjustRightInd/>
              <w:spacing w:before="0" w:beforeAutospacing="0" w:after="0" w:afterAutospacing="0" w:line="240" w:lineRule="auto"/>
              <w:ind w:left="0" w:right="0"/>
              <w:rPr>
                <w:rFonts w:hint="default" w:ascii="Times New Roman" w:hAnsi="Times New Roman" w:cs="Times New Roman"/>
                <w:color w:val="0070C0"/>
                <w:sz w:val="20"/>
                <w:szCs w:val="20"/>
                <w:lang w:eastAsia="ko-KR"/>
              </w:rPr>
            </w:pPr>
            <w:r>
              <w:rPr>
                <w:rFonts w:hint="default" w:ascii="Times New Roman" w:hAnsi="Times New Roman" w:cs="Times New Roman"/>
                <w:color w:val="0070C0"/>
                <w:sz w:val="20"/>
                <w:szCs w:val="20"/>
                <w:lang w:eastAsia="ko-KR"/>
              </w:rPr>
              <w:t xml:space="preserve"> (B8): Kmac (to determine UE-gNB RTT and perform RACH to target), </w:t>
            </w:r>
          </w:p>
          <w:p>
            <w:pPr>
              <w:keepNext w:val="0"/>
              <w:keepLines w:val="0"/>
              <w:widowControl/>
              <w:suppressLineNumbers w:val="0"/>
              <w:overflowPunct/>
              <w:autoSpaceDE/>
              <w:autoSpaceDN/>
              <w:adjustRightInd/>
              <w:spacing w:before="0" w:beforeAutospacing="0" w:after="0" w:afterAutospacing="0" w:line="240" w:lineRule="auto"/>
              <w:ind w:left="0" w:right="0"/>
              <w:rPr>
                <w:rFonts w:hint="default" w:ascii="Times New Roman" w:hAnsi="Times New Roman" w:cs="Times New Roman"/>
                <w:color w:val="0070C0"/>
                <w:sz w:val="20"/>
                <w:szCs w:val="20"/>
                <w:lang w:eastAsia="ko-KR"/>
              </w:rPr>
            </w:pPr>
          </w:p>
          <w:p>
            <w:pPr>
              <w:keepNext w:val="0"/>
              <w:keepLines w:val="0"/>
              <w:widowControl/>
              <w:suppressLineNumbers w:val="0"/>
              <w:overflowPunct/>
              <w:autoSpaceDE/>
              <w:autoSpaceDN/>
              <w:adjustRightInd/>
              <w:spacing w:before="0" w:beforeAutospacing="0" w:after="0" w:afterAutospacing="0" w:line="240" w:lineRule="auto"/>
              <w:ind w:left="0" w:right="0"/>
              <w:rPr>
                <w:rFonts w:hint="default" w:ascii="Times New Roman" w:hAnsi="Times New Roman" w:cs="Times New Roman"/>
                <w:color w:val="000000"/>
                <w:sz w:val="20"/>
                <w:szCs w:val="20"/>
                <w:lang w:eastAsia="ko-KR"/>
              </w:rPr>
            </w:pPr>
            <w:r>
              <w:rPr>
                <w:rFonts w:hint="default" w:ascii="Times New Roman" w:hAnsi="Times New Roman" w:cs="Times New Roman"/>
                <w:color w:val="000000"/>
                <w:sz w:val="20"/>
                <w:szCs w:val="20"/>
                <w:lang w:eastAsia="ko-KR"/>
              </w:rPr>
              <w:t>Question-3: Would the parameters be available to UE, e.g. provided by serving cell, for measurements and mobility? If the answer is dependent on satellite types, e.g. GSO and NGSO, and RRC state, what would be the answers to the respective satellite types?</w:t>
            </w:r>
          </w:p>
          <w:p>
            <w:pPr>
              <w:keepNext w:val="0"/>
              <w:keepLines w:val="0"/>
              <w:widowControl/>
              <w:suppressLineNumbers w:val="0"/>
              <w:overflowPunct/>
              <w:autoSpaceDE/>
              <w:autoSpaceDN/>
              <w:adjustRightInd/>
              <w:spacing w:before="0" w:beforeAutospacing="0" w:after="0" w:afterAutospacing="0" w:line="240" w:lineRule="auto"/>
              <w:ind w:left="0" w:right="0"/>
              <w:rPr>
                <w:rFonts w:hint="default" w:ascii="Times New Roman" w:hAnsi="Times New Roman" w:cs="Times New Roman"/>
                <w:color w:val="0070C0"/>
                <w:sz w:val="20"/>
                <w:szCs w:val="20"/>
                <w:lang w:eastAsia="ko-KR"/>
              </w:rPr>
            </w:pPr>
            <w:r>
              <w:rPr>
                <w:rFonts w:hint="default" w:ascii="Times New Roman" w:hAnsi="Times New Roman" w:cs="Times New Roman"/>
                <w:color w:val="0070C0"/>
                <w:sz w:val="20"/>
                <w:szCs w:val="20"/>
                <w:lang w:eastAsia="ko-KR"/>
              </w:rPr>
              <w:t xml:space="preserve">RAN2 answer: Yes. </w:t>
            </w:r>
          </w:p>
          <w:p>
            <w:pPr>
              <w:keepNext w:val="0"/>
              <w:keepLines w:val="0"/>
              <w:widowControl/>
              <w:suppressLineNumbers w:val="0"/>
              <w:overflowPunct/>
              <w:autoSpaceDE/>
              <w:autoSpaceDN/>
              <w:adjustRightInd/>
              <w:spacing w:before="0" w:beforeAutospacing="0" w:after="0" w:afterAutospacing="0" w:line="240" w:lineRule="auto"/>
              <w:ind w:left="0" w:right="0"/>
              <w:rPr>
                <w:rFonts w:hint="default" w:ascii="Times New Roman" w:hAnsi="Times New Roman" w:cs="Times New Roman"/>
                <w:color w:val="000000"/>
                <w:sz w:val="20"/>
                <w:szCs w:val="20"/>
                <w:lang w:eastAsia="ko-KR"/>
              </w:rPr>
            </w:pPr>
          </w:p>
          <w:p>
            <w:pPr>
              <w:keepNext w:val="0"/>
              <w:keepLines w:val="0"/>
              <w:widowControl/>
              <w:suppressLineNumbers w:val="0"/>
              <w:overflowPunct/>
              <w:autoSpaceDE/>
              <w:autoSpaceDN/>
              <w:adjustRightInd/>
              <w:spacing w:before="0" w:beforeAutospacing="0" w:after="0" w:afterAutospacing="0" w:line="240" w:lineRule="auto"/>
              <w:ind w:left="0" w:right="0"/>
              <w:rPr>
                <w:rFonts w:hint="default" w:ascii="Times New Roman" w:hAnsi="Times New Roman" w:cs="Times New Roman"/>
                <w:color w:val="000000"/>
                <w:sz w:val="20"/>
                <w:szCs w:val="20"/>
                <w:lang w:eastAsia="ko-KR"/>
              </w:rPr>
            </w:pPr>
            <w:r>
              <w:rPr>
                <w:rFonts w:hint="default" w:ascii="Times New Roman" w:hAnsi="Times New Roman" w:cs="Times New Roman"/>
                <w:color w:val="000000"/>
                <w:sz w:val="20"/>
                <w:szCs w:val="20"/>
                <w:lang w:eastAsia="ko-KR"/>
              </w:rPr>
              <w:t>Questions-4: What would be the expected UE behavior from the perspective of handover, measurement, and measurement reporting if any or all of the information listed above is not provided to the UE by a serving cell or if any of all of the provided information cannot be used by the UE because, e.g. the validity timer expires? If the answer is dependent on satellite types, e.g. GSO and NGSO, and RRC state, what would be the answers to the respective satellite types?</w:t>
            </w:r>
          </w:p>
          <w:p>
            <w:pPr>
              <w:keepNext w:val="0"/>
              <w:keepLines w:val="0"/>
              <w:widowControl/>
              <w:suppressLineNumbers w:val="0"/>
              <w:overflowPunct/>
              <w:autoSpaceDE/>
              <w:autoSpaceDN/>
              <w:adjustRightInd/>
              <w:spacing w:before="0" w:beforeAutospacing="0" w:after="0" w:afterAutospacing="0" w:line="240" w:lineRule="auto"/>
              <w:ind w:left="0" w:right="0"/>
              <w:rPr>
                <w:rFonts w:hint="default" w:ascii="Times New Roman" w:hAnsi="Times New Roman" w:cs="Times New Roman"/>
                <w:color w:val="0070C0"/>
                <w:sz w:val="20"/>
                <w:szCs w:val="20"/>
                <w:lang w:eastAsia="ko-KR"/>
              </w:rPr>
            </w:pPr>
            <w:r>
              <w:rPr>
                <w:rFonts w:hint="default" w:ascii="Times New Roman" w:hAnsi="Times New Roman" w:cs="Times New Roman"/>
                <w:color w:val="0070C0"/>
                <w:sz w:val="20"/>
                <w:szCs w:val="20"/>
                <w:lang w:eastAsia="ko-KR"/>
              </w:rPr>
              <w:t>RAN2 answer: RAN2 assumes all the information needed for measurement and handover would be provided to the UE by the network. If any of the information is not available or is not valid, then the UE would have to acquire the system information of the target or neighbor cell which is not desirable from handover interruption time point of view.</w:t>
            </w:r>
          </w:p>
          <w:p>
            <w:pPr>
              <w:keepNext w:val="0"/>
              <w:keepLines w:val="0"/>
              <w:widowControl/>
              <w:suppressLineNumbers w:val="0"/>
              <w:overflowPunct/>
              <w:autoSpaceDE/>
              <w:autoSpaceDN/>
              <w:adjustRightInd/>
              <w:spacing w:before="0" w:beforeAutospacing="0" w:after="0" w:afterAutospacing="0" w:line="240" w:lineRule="auto"/>
              <w:ind w:left="0" w:right="0"/>
              <w:rPr>
                <w:rFonts w:hint="default" w:ascii="Times New Roman" w:hAnsi="Times New Roman" w:cs="Times New Roman"/>
                <w:color w:val="0070C0"/>
                <w:sz w:val="20"/>
                <w:szCs w:val="20"/>
                <w:lang w:val="en-US" w:eastAsia="zh-CN"/>
              </w:rPr>
            </w:pPr>
          </w:p>
          <w:p>
            <w:pPr>
              <w:keepNext w:val="0"/>
              <w:keepLines w:val="0"/>
              <w:widowControl/>
              <w:suppressLineNumbers w:val="0"/>
              <w:spacing w:before="0" w:beforeAutospacing="0" w:afterAutospacing="0"/>
              <w:ind w:left="0" w:right="0"/>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RAN2 respectfully asks RAN1 to take into account the above information and provide answer to the Question 1 on whether following parameters need to be provided to UEs for neighbor cell measurements and handover</w:t>
            </w:r>
          </w:p>
          <w:p>
            <w:pPr>
              <w:pStyle w:val="68"/>
              <w:keepNext w:val="0"/>
              <w:keepLines w:val="0"/>
              <w:numPr>
                <w:ilvl w:val="0"/>
                <w:numId w:val="4"/>
              </w:numPr>
              <w:suppressLineNumbers w:val="0"/>
              <w:spacing w:before="0" w:beforeAutospacing="0" w:afterAutospacing="0"/>
              <w:ind w:right="0" w:firstLineChars="0"/>
              <w:rPr>
                <w:rFonts w:hint="default" w:ascii="Times New Roman" w:hAnsi="Times New Roman" w:cs="Times New Roman"/>
                <w:color w:val="000000"/>
              </w:rPr>
            </w:pPr>
            <w:r>
              <w:rPr>
                <w:rFonts w:hint="default" w:ascii="Times New Roman" w:hAnsi="Times New Roman" w:cs="Times New Roman"/>
                <w:color w:val="000000"/>
              </w:rPr>
              <w:t xml:space="preserve">A2/B2 (common TA parameters), </w:t>
            </w:r>
          </w:p>
          <w:p>
            <w:pPr>
              <w:pStyle w:val="68"/>
              <w:keepNext w:val="0"/>
              <w:keepLines w:val="0"/>
              <w:numPr>
                <w:ilvl w:val="0"/>
                <w:numId w:val="4"/>
              </w:numPr>
              <w:suppressLineNumbers w:val="0"/>
              <w:spacing w:before="0" w:beforeAutospacing="0" w:afterAutospacing="0"/>
              <w:ind w:right="0" w:firstLineChars="0"/>
              <w:rPr>
                <w:rFonts w:hint="default" w:ascii="Times New Roman" w:hAnsi="Times New Roman" w:cs="Times New Roman"/>
                <w:color w:val="000000"/>
              </w:rPr>
            </w:pPr>
            <w:r>
              <w:rPr>
                <w:rFonts w:hint="default" w:ascii="Times New Roman" w:hAnsi="Times New Roman" w:cs="Times New Roman"/>
                <w:color w:val="000000"/>
              </w:rPr>
              <w:t>A3/B3 (Validity timer information for</w:t>
            </w:r>
            <w:r>
              <w:rPr>
                <w:rFonts w:hint="default" w:ascii="Times New Roman" w:hAnsi="Times New Roman" w:cs="Times New Roman"/>
              </w:rPr>
              <w:t xml:space="preserve"> </w:t>
            </w:r>
            <w:r>
              <w:rPr>
                <w:rFonts w:hint="default" w:ascii="Times New Roman" w:hAnsi="Times New Roman" w:cs="Times New Roman"/>
                <w:color w:val="000000"/>
              </w:rPr>
              <w:t>neighbor cell measurements/target cell mobility, e.g. if it is different from that for serving cell open loop TA control),</w:t>
            </w:r>
          </w:p>
          <w:p>
            <w:pPr>
              <w:pStyle w:val="68"/>
              <w:keepNext w:val="0"/>
              <w:keepLines w:val="0"/>
              <w:numPr>
                <w:ilvl w:val="0"/>
                <w:numId w:val="4"/>
              </w:numPr>
              <w:suppressLineNumbers w:val="0"/>
              <w:spacing w:before="0" w:beforeAutospacing="0" w:afterAutospacing="0"/>
              <w:ind w:right="0" w:firstLineChars="0"/>
              <w:rPr>
                <w:rFonts w:hint="default" w:ascii="Times New Roman" w:hAnsi="Times New Roman" w:cs="Times New Roman"/>
                <w:color w:val="000000"/>
              </w:rPr>
            </w:pPr>
            <w:r>
              <w:rPr>
                <w:rFonts w:hint="default" w:ascii="Times New Roman" w:hAnsi="Times New Roman" w:cs="Times New Roman"/>
                <w:color w:val="000000"/>
              </w:rPr>
              <w:t>Separate validity durations for PVT parameters and Orbital parameters, and</w:t>
            </w:r>
          </w:p>
          <w:p>
            <w:pPr>
              <w:pStyle w:val="68"/>
              <w:keepNext w:val="0"/>
              <w:keepLines w:val="0"/>
              <w:numPr>
                <w:ilvl w:val="0"/>
                <w:numId w:val="4"/>
              </w:numPr>
              <w:suppressLineNumbers w:val="0"/>
              <w:spacing w:before="0" w:beforeAutospacing="0" w:afterAutospacing="0"/>
              <w:ind w:right="0" w:firstLineChars="0"/>
              <w:rPr>
                <w:rStyle w:val="59"/>
                <w:rFonts w:hint="default" w:ascii="Calibri" w:hAnsi="Calibri" w:cs="Calibri"/>
                <w:i w:val="0"/>
                <w:caps w:val="0"/>
                <w:color w:val="000000"/>
                <w:spacing w:val="0"/>
                <w:sz w:val="21"/>
                <w:szCs w:val="21"/>
                <w:shd w:val="clear" w:fill="FFFFFF"/>
                <w:lang w:val="en-US" w:eastAsia="zh-CN"/>
              </w:rPr>
            </w:pPr>
            <w:r>
              <w:rPr>
                <w:rFonts w:hint="default" w:ascii="Times New Roman" w:hAnsi="Times New Roman" w:cs="Times New Roman"/>
                <w:color w:val="000000"/>
              </w:rPr>
              <w:t>A5/B5 (DL and UL Polarization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03" w:type="dxa"/>
          </w:tcPr>
          <w:p>
            <w:pPr>
              <w:keepNext/>
              <w:keepLines/>
              <w:widowControl/>
              <w:suppressLineNumbers w:val="0"/>
              <w:spacing w:before="0" w:beforeAutospacing="0" w:after="160" w:afterAutospacing="0" w:line="259" w:lineRule="auto"/>
              <w:ind w:left="0" w:right="0"/>
              <w:rPr>
                <w:rFonts w:hint="eastAsia"/>
                <w:color w:val="0000FF"/>
                <w:sz w:val="20"/>
                <w:szCs w:val="20"/>
                <w:highlight w:val="yellow"/>
                <w:lang w:val="en-US" w:eastAsia="zh-CN"/>
              </w:rPr>
            </w:pPr>
            <w:r>
              <w:rPr>
                <w:rFonts w:hint="eastAsia" w:ascii="Arial" w:hAnsi="Arial" w:cs="Arial"/>
                <w:sz w:val="20"/>
                <w:szCs w:val="20"/>
                <w:lang w:val="en-US" w:eastAsia="zh-CN" w:bidi="ar-SA"/>
              </w:rPr>
              <w:t xml:space="preserve">RAN1 reply LS in </w:t>
            </w:r>
            <w:bookmarkStart w:id="5" w:name="OLE_LINK1"/>
            <w:r>
              <w:rPr>
                <w:rFonts w:hint="default"/>
                <w:color w:val="0000FF"/>
                <w:sz w:val="20"/>
                <w:szCs w:val="20"/>
                <w:highlight w:val="yellow"/>
                <w:lang w:val="en-US"/>
              </w:rPr>
              <w:t>R2-2204131</w:t>
            </w:r>
            <w:r>
              <w:rPr>
                <w:rFonts w:hint="eastAsia"/>
                <w:color w:val="0000FF"/>
                <w:sz w:val="20"/>
                <w:szCs w:val="20"/>
                <w:highlight w:val="yellow"/>
                <w:lang w:val="en-US" w:eastAsia="zh-CN"/>
              </w:rPr>
              <w:t xml:space="preserve"> </w:t>
            </w:r>
            <w:bookmarkEnd w:id="5"/>
          </w:p>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de-DE"/>
              </w:rPr>
            </w:pPr>
            <w:r>
              <w:rPr>
                <w:rFonts w:hint="default" w:ascii="Times New Roman" w:hAnsi="Times New Roman" w:cs="Times New Roman"/>
                <w:sz w:val="20"/>
                <w:szCs w:val="20"/>
                <w:lang w:val="en-US" w:eastAsia="de-DE"/>
              </w:rPr>
              <w:t>Regarding the question whether A2/B2 (common TA parameters) need to be provided to UEs for neighbor cell measurements and handover:</w:t>
            </w:r>
          </w:p>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de-DE"/>
              </w:rPr>
            </w:pPr>
            <w:r>
              <w:rPr>
                <w:rFonts w:hint="default" w:ascii="Times New Roman" w:hAnsi="Times New Roman" w:cs="Times New Roman"/>
                <w:b/>
                <w:bCs/>
                <w:sz w:val="20"/>
                <w:szCs w:val="20"/>
                <w:lang w:val="en-US" w:eastAsia="de-DE"/>
              </w:rPr>
              <w:t>RAN1 answer:</w:t>
            </w:r>
            <w:r>
              <w:rPr>
                <w:rFonts w:hint="default" w:ascii="Times New Roman" w:hAnsi="Times New Roman" w:cs="Times New Roman"/>
                <w:sz w:val="20"/>
                <w:szCs w:val="20"/>
                <w:lang w:val="en-US" w:eastAsia="de-DE"/>
              </w:rPr>
              <w:t xml:space="preserve"> From RAN1 perspective, if configured on neighbour/target cell, A2/B2 (high-layer common TA parameters: TACommon, TACommonDrift and TACommonDriftVariation) can be </w:t>
            </w:r>
            <w:r>
              <w:rPr>
                <w:rFonts w:hint="default" w:ascii="Times New Roman" w:hAnsi="Times New Roman" w:cs="Times New Roman"/>
                <w:color w:val="FF0000"/>
                <w:sz w:val="20"/>
                <w:szCs w:val="20"/>
                <w:lang w:val="en-US" w:eastAsia="de-DE"/>
              </w:rPr>
              <w:t xml:space="preserve">helpful </w:t>
            </w:r>
            <w:r>
              <w:rPr>
                <w:rFonts w:hint="default" w:ascii="Times New Roman" w:hAnsi="Times New Roman" w:cs="Times New Roman"/>
                <w:sz w:val="20"/>
                <w:szCs w:val="20"/>
                <w:lang w:val="en-US" w:eastAsia="de-DE"/>
              </w:rPr>
              <w:t>for measurement and are</w:t>
            </w:r>
            <w:r>
              <w:rPr>
                <w:rFonts w:hint="default" w:ascii="Times New Roman" w:hAnsi="Times New Roman" w:cs="Times New Roman"/>
                <w:color w:val="FF0000"/>
                <w:sz w:val="20"/>
                <w:szCs w:val="20"/>
                <w:lang w:val="en-US" w:eastAsia="de-DE"/>
              </w:rPr>
              <w:t xml:space="preserve"> necessary</w:t>
            </w:r>
            <w:r>
              <w:rPr>
                <w:rFonts w:hint="default" w:ascii="Times New Roman" w:hAnsi="Times New Roman" w:cs="Times New Roman"/>
                <w:sz w:val="20"/>
                <w:szCs w:val="20"/>
                <w:lang w:val="en-US" w:eastAsia="de-DE"/>
              </w:rPr>
              <w:t xml:space="preserve"> for mobility purpose (in case of network assisted cell change/handover).</w:t>
            </w:r>
          </w:p>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de-DE"/>
              </w:rPr>
            </w:pPr>
            <w:r>
              <w:rPr>
                <w:rFonts w:hint="default" w:ascii="Times New Roman" w:hAnsi="Times New Roman" w:cs="Times New Roman"/>
                <w:sz w:val="20"/>
                <w:szCs w:val="20"/>
                <w:lang w:val="en-US" w:eastAsia="de-DE"/>
              </w:rPr>
              <w:t>Regarding the question whether A3/B3 need to be provided to UEs for neighbor cell measurements and handover:</w:t>
            </w:r>
          </w:p>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de-DE"/>
              </w:rPr>
            </w:pPr>
            <w:r>
              <w:rPr>
                <w:rFonts w:hint="default" w:ascii="Times New Roman" w:hAnsi="Times New Roman" w:cs="Times New Roman"/>
                <w:b/>
                <w:bCs/>
                <w:sz w:val="20"/>
                <w:szCs w:val="20"/>
                <w:lang w:val="en-US" w:eastAsia="de-DE"/>
              </w:rPr>
              <w:t>RAN1 answer:</w:t>
            </w:r>
            <w:r>
              <w:rPr>
                <w:rFonts w:hint="default" w:ascii="Times New Roman" w:hAnsi="Times New Roman" w:cs="Times New Roman"/>
                <w:sz w:val="20"/>
                <w:szCs w:val="20"/>
                <w:lang w:val="en-US" w:eastAsia="de-DE"/>
              </w:rPr>
              <w:t xml:space="preserve"> Validity duration information should be provided based on neighbor cell since it may be different from the serving cell (e.g. satellite for neighbor cell is different). Further, from RAN1 perspective, the Epoch time of assistance information (i.e. Serving satellite ephemeris and Common TA parameters) should be also provided to the UE.</w:t>
            </w:r>
          </w:p>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de-DE"/>
              </w:rPr>
            </w:pPr>
            <w:r>
              <w:rPr>
                <w:rFonts w:hint="default" w:ascii="Times New Roman" w:hAnsi="Times New Roman" w:cs="Times New Roman"/>
                <w:sz w:val="20"/>
                <w:szCs w:val="20"/>
                <w:lang w:val="en-US" w:eastAsia="de-DE"/>
              </w:rPr>
              <w:t>Regarding the separate validity durations for PVT parameters and Orbital parameters:</w:t>
            </w:r>
          </w:p>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de-DE"/>
              </w:rPr>
            </w:pPr>
            <w:r>
              <w:rPr>
                <w:rFonts w:hint="default" w:ascii="Times New Roman" w:hAnsi="Times New Roman" w:cs="Times New Roman"/>
                <w:b/>
                <w:bCs/>
                <w:sz w:val="20"/>
                <w:szCs w:val="20"/>
                <w:lang w:val="en-US" w:eastAsia="de-DE"/>
              </w:rPr>
              <w:t>RAN1 answer:</w:t>
            </w:r>
            <w:r>
              <w:rPr>
                <w:rFonts w:hint="default" w:ascii="Times New Roman" w:hAnsi="Times New Roman" w:cs="Times New Roman"/>
                <w:sz w:val="20"/>
                <w:szCs w:val="20"/>
                <w:lang w:val="en-US" w:eastAsia="de-DE"/>
              </w:rPr>
              <w:t xml:space="preserve"> The validity duration may be different for serving and target/neighbor cells.</w:t>
            </w:r>
          </w:p>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de-DE"/>
              </w:rPr>
            </w:pPr>
            <w:r>
              <w:rPr>
                <w:rFonts w:hint="default" w:ascii="Times New Roman" w:hAnsi="Times New Roman" w:cs="Times New Roman"/>
                <w:sz w:val="20"/>
                <w:szCs w:val="20"/>
                <w:lang w:val="en-US" w:eastAsia="de-DE"/>
              </w:rPr>
              <w:t>Regarding the question whether A5/B5 (DL and UL Polarization information) need to be provided to UEs for neighbor cell measurements and handover:</w:t>
            </w:r>
          </w:p>
          <w:p>
            <w:pPr>
              <w:keepNext w:val="0"/>
              <w:keepLines w:val="0"/>
              <w:widowControl/>
              <w:suppressLineNumbers w:val="0"/>
              <w:spacing w:before="0" w:beforeAutospacing="0" w:after="0" w:afterAutospacing="0"/>
              <w:ind w:left="0" w:right="0"/>
              <w:rPr>
                <w:rFonts w:hint="default" w:ascii="Times New Roman" w:hAnsi="Times New Roman" w:cs="Times New Roman"/>
                <w:bCs/>
                <w:sz w:val="20"/>
                <w:szCs w:val="20"/>
                <w:lang w:val="en-US"/>
              </w:rPr>
            </w:pPr>
            <w:r>
              <w:rPr>
                <w:rFonts w:hint="default" w:ascii="Times New Roman" w:hAnsi="Times New Roman" w:cs="Times New Roman"/>
                <w:b/>
                <w:bCs/>
                <w:sz w:val="20"/>
                <w:szCs w:val="20"/>
                <w:lang w:val="en-US"/>
              </w:rPr>
              <w:t>RAN1 answer:</w:t>
            </w:r>
            <w:r>
              <w:rPr>
                <w:rFonts w:hint="default" w:ascii="Times New Roman" w:hAnsi="Times New Roman" w:cs="Times New Roman"/>
                <w:bCs/>
                <w:sz w:val="20"/>
                <w:szCs w:val="20"/>
                <w:lang w:val="en-US"/>
              </w:rPr>
              <w:t xml:space="preserve"> The polarization information needs to be provided to UE for neighbor cell measurements and handover as per the following agreements made at RAN1#106-e:</w:t>
            </w:r>
          </w:p>
          <w:p>
            <w:pPr>
              <w:keepNext w:val="0"/>
              <w:keepLines w:val="0"/>
              <w:widowControl/>
              <w:suppressLineNumbers w:val="0"/>
              <w:spacing w:before="0" w:beforeAutospacing="0" w:after="0" w:afterAutospacing="0"/>
              <w:ind w:left="0" w:right="0"/>
              <w:rPr>
                <w:rFonts w:hint="default" w:ascii="Times New Roman" w:hAnsi="Times New Roman" w:cs="Times New Roman"/>
                <w:bCs/>
                <w:sz w:val="20"/>
                <w:szCs w:val="20"/>
                <w:lang w:val="en-US"/>
              </w:rPr>
            </w:pP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3" w:type="dxa"/>
                </w:tcPr>
                <w:p>
                  <w:pPr>
                    <w:keepNext w:val="0"/>
                    <w:keepLines w:val="0"/>
                    <w:widowControl/>
                    <w:suppressLineNumbers w:val="0"/>
                    <w:spacing w:before="0" w:beforeAutospacing="0" w:after="0" w:afterAutospacing="0"/>
                    <w:ind w:left="0" w:right="0"/>
                    <w:rPr>
                      <w:rFonts w:hint="default" w:ascii="Times New Roman" w:hAnsi="Times New Roman" w:eastAsia="Calibri" w:cs="Times New Roman"/>
                      <w:bCs/>
                      <w:sz w:val="20"/>
                      <w:szCs w:val="20"/>
                      <w:lang w:val="en-US"/>
                    </w:rPr>
                  </w:pPr>
                  <w:r>
                    <w:rPr>
                      <w:rFonts w:hint="default" w:ascii="Times New Roman" w:hAnsi="Times New Roman" w:eastAsia="Calibri" w:cs="Times New Roman"/>
                      <w:b/>
                      <w:bCs/>
                      <w:sz w:val="20"/>
                      <w:szCs w:val="20"/>
                      <w:lang w:val="en-US"/>
                    </w:rPr>
                    <w:t>RAN1#106-e Agreement</w:t>
                  </w:r>
                  <w:r>
                    <w:rPr>
                      <w:rFonts w:hint="default" w:ascii="Times New Roman" w:hAnsi="Times New Roman" w:eastAsia="Calibri" w:cs="Times New Roman"/>
                      <w:bCs/>
                      <w:sz w:val="20"/>
                      <w:szCs w:val="20"/>
                      <w:lang w:val="en-US"/>
                    </w:rPr>
                    <w:t>:</w:t>
                  </w:r>
                </w:p>
                <w:p>
                  <w:pPr>
                    <w:keepNext w:val="0"/>
                    <w:keepLines w:val="0"/>
                    <w:widowControl/>
                    <w:suppressLineNumbers w:val="0"/>
                    <w:spacing w:before="0" w:beforeAutospacing="0" w:after="0" w:afterAutospacing="0"/>
                    <w:ind w:left="0" w:right="0"/>
                    <w:rPr>
                      <w:rFonts w:hint="default" w:ascii="Times New Roman" w:hAnsi="Times New Roman" w:eastAsia="Calibri" w:cs="Times New Roman"/>
                      <w:bCs/>
                      <w:sz w:val="20"/>
                      <w:szCs w:val="20"/>
                      <w:lang w:val="en-US"/>
                    </w:rPr>
                  </w:pPr>
                  <w:r>
                    <w:rPr>
                      <w:rFonts w:hint="default" w:ascii="Times New Roman" w:hAnsi="Times New Roman" w:eastAsia="Calibri" w:cs="Times New Roman"/>
                      <w:bCs/>
                      <w:sz w:val="20"/>
                      <w:szCs w:val="20"/>
                      <w:lang w:val="en-US"/>
                    </w:rPr>
                    <w:t>Support polarization signalling for target serving cell in handover command message.</w:t>
                  </w:r>
                </w:p>
                <w:p>
                  <w:pPr>
                    <w:keepNext w:val="0"/>
                    <w:keepLines w:val="0"/>
                    <w:widowControl/>
                    <w:suppressLineNumbers w:val="0"/>
                    <w:spacing w:before="0" w:beforeAutospacing="0" w:after="0" w:afterAutospacing="0"/>
                    <w:ind w:left="0" w:right="0"/>
                    <w:rPr>
                      <w:rFonts w:hint="default" w:ascii="Times New Roman" w:hAnsi="Times New Roman" w:eastAsia="Calibri" w:cs="Times New Roman"/>
                      <w:bCs/>
                      <w:sz w:val="20"/>
                      <w:szCs w:val="20"/>
                      <w:lang w:val="en-US"/>
                    </w:rPr>
                  </w:pPr>
                  <w:r>
                    <w:rPr>
                      <w:rFonts w:hint="default" w:ascii="Times New Roman" w:hAnsi="Times New Roman" w:eastAsia="Calibri" w:cs="Times New Roman"/>
                      <w:b/>
                      <w:bCs/>
                      <w:sz w:val="20"/>
                      <w:szCs w:val="20"/>
                      <w:lang w:val="en-US"/>
                    </w:rPr>
                    <w:t>RAN1#106-e Agreement</w:t>
                  </w:r>
                  <w:r>
                    <w:rPr>
                      <w:rFonts w:hint="default" w:ascii="Times New Roman" w:hAnsi="Times New Roman" w:eastAsia="Calibri" w:cs="Times New Roman"/>
                      <w:bCs/>
                      <w:sz w:val="20"/>
                      <w:szCs w:val="20"/>
                      <w:lang w:val="en-US"/>
                    </w:rPr>
                    <w:t>:</w:t>
                  </w:r>
                </w:p>
                <w:p>
                  <w:pPr>
                    <w:keepNext w:val="0"/>
                    <w:keepLines w:val="0"/>
                    <w:widowControl/>
                    <w:suppressLineNumbers w:val="0"/>
                    <w:spacing w:before="0" w:beforeAutospacing="0" w:after="0" w:afterAutospacing="0"/>
                    <w:ind w:left="0" w:right="0"/>
                    <w:rPr>
                      <w:rFonts w:hint="default" w:ascii="Times New Roman" w:hAnsi="Times New Roman" w:eastAsia="Calibri" w:cs="Times New Roman"/>
                      <w:bCs/>
                      <w:sz w:val="20"/>
                      <w:szCs w:val="20"/>
                      <w:lang w:val="en-US"/>
                    </w:rPr>
                  </w:pPr>
                  <w:r>
                    <w:rPr>
                      <w:rFonts w:hint="default" w:ascii="Times New Roman" w:hAnsi="Times New Roman" w:eastAsia="Calibri" w:cs="Times New Roman"/>
                      <w:bCs/>
                      <w:sz w:val="20"/>
                      <w:szCs w:val="20"/>
                      <w:lang w:val="en-US"/>
                    </w:rPr>
                    <w:t>Support polarization signalling for non-serving cell in RRM measurement configuration</w:t>
                  </w:r>
                </w:p>
              </w:tc>
            </w:tr>
          </w:tbl>
          <w:p>
            <w:pPr>
              <w:keepNext/>
              <w:keepLines/>
              <w:widowControl/>
              <w:suppressLineNumbers w:val="0"/>
              <w:spacing w:before="0" w:beforeAutospacing="0" w:after="160" w:afterAutospacing="0" w:line="259" w:lineRule="auto"/>
              <w:ind w:left="0" w:right="0"/>
              <w:rPr>
                <w:rFonts w:hint="eastAsia"/>
                <w:color w:val="0000FF"/>
                <w:sz w:val="20"/>
                <w:szCs w:val="20"/>
                <w:highlight w:val="yellow"/>
                <w:lang w:val="en-US" w:eastAsia="zh-CN"/>
              </w:rPr>
            </w:pPr>
          </w:p>
        </w:tc>
      </w:tr>
    </w:tbl>
    <w:p>
      <w:pPr>
        <w:numPr>
          <w:ilvl w:val="0"/>
          <w:numId w:val="0"/>
        </w:numPr>
        <w:ind w:leftChars="0"/>
        <w:rPr>
          <w:rFonts w:hint="default"/>
          <w:lang w:val="en-US" w:eastAsia="zh-CN"/>
        </w:rPr>
      </w:pPr>
    </w:p>
    <w:p>
      <w:pPr>
        <w:numPr>
          <w:ilvl w:val="0"/>
          <w:numId w:val="0"/>
        </w:numPr>
        <w:ind w:leftChars="0"/>
        <w:rPr>
          <w:rFonts w:hint="eastAsia"/>
          <w:lang w:val="en-US" w:eastAsia="zh-CN"/>
        </w:rPr>
      </w:pPr>
      <w:r>
        <w:rPr>
          <w:rFonts w:hint="eastAsia"/>
          <w:lang w:val="en-US" w:eastAsia="zh-CN"/>
        </w:rPr>
        <w:t xml:space="preserve">Based on above, below can be captured:  </w:t>
      </w:r>
    </w:p>
    <w:p>
      <w:pPr>
        <w:numPr>
          <w:ilvl w:val="0"/>
          <w:numId w:val="0"/>
        </w:numPr>
        <w:ind w:leftChars="0"/>
        <w:rPr>
          <w:rFonts w:hint="default"/>
          <w:b/>
          <w:bCs/>
          <w:lang w:val="en-US" w:eastAsia="zh-CN"/>
        </w:rPr>
      </w:pPr>
      <w:r>
        <w:rPr>
          <w:rFonts w:hint="eastAsia"/>
          <w:b/>
          <w:bCs/>
          <w:lang w:val="en-US" w:eastAsia="zh-CN"/>
        </w:rPr>
        <w:t>Observation 3: For all RRC states, RAN2 consider SMTCs, ephemeris, epoch time and DL polarization is needed for neighboring cell measurements</w:t>
      </w:r>
    </w:p>
    <w:p>
      <w:pPr>
        <w:numPr>
          <w:ilvl w:val="0"/>
          <w:numId w:val="0"/>
        </w:numPr>
        <w:ind w:leftChars="0"/>
        <w:rPr>
          <w:rFonts w:hint="eastAsia"/>
          <w:b/>
          <w:bCs/>
          <w:lang w:val="en-US" w:eastAsia="zh-CN"/>
        </w:rPr>
      </w:pPr>
      <w:r>
        <w:rPr>
          <w:rFonts w:hint="eastAsia"/>
          <w:b/>
          <w:bCs/>
          <w:lang w:val="en-US" w:eastAsia="zh-CN"/>
        </w:rPr>
        <w:t>Observation 4: For all RRC states, RAN1 concludes that DL polarization, validity time as well as epochTime of assistance information is needed for neighboring cell measurements with further RAN1 agreements that DL polarization is provided in RRM measurement configuration for non-serving cells as well as in Handover command for target cell.</w:t>
      </w:r>
    </w:p>
    <w:p>
      <w:pPr>
        <w:numPr>
          <w:ilvl w:val="0"/>
          <w:numId w:val="0"/>
        </w:numPr>
        <w:ind w:leftChars="0"/>
        <w:rPr>
          <w:rFonts w:hint="default"/>
          <w:b/>
          <w:bCs/>
          <w:lang w:val="en-US" w:eastAsia="zh-CN"/>
        </w:rPr>
      </w:pPr>
      <w:r>
        <w:rPr>
          <w:rFonts w:hint="eastAsia"/>
          <w:b/>
          <w:bCs/>
          <w:lang w:val="en-US" w:eastAsia="zh-CN"/>
        </w:rPr>
        <w:t>Observation 5: RAN2 has agreed that UE in idle/inactive will based on neighboring cell ephemeris and UE location to autonomous adjust the SMTC while for connected mode UEs NW will configure UE SMTC for measurements.</w:t>
      </w:r>
    </w:p>
    <w:p>
      <w:pPr>
        <w:numPr>
          <w:ilvl w:val="0"/>
          <w:numId w:val="0"/>
        </w:numPr>
        <w:ind w:leftChars="0"/>
        <w:rPr>
          <w:rFonts w:hint="eastAsia"/>
          <w:lang w:val="en-US" w:eastAsia="zh-CN"/>
        </w:rPr>
      </w:pPr>
      <w:r>
        <w:rPr>
          <w:rFonts w:hint="eastAsia"/>
          <w:lang w:val="en-US" w:eastAsia="zh-CN"/>
        </w:rPr>
        <w:t>The remaining part is on common TA parameters since RAN1 only stated that common TA is helpful for measurements. Based on RAN1</w:t>
      </w:r>
      <w:r>
        <w:rPr>
          <w:rFonts w:hint="default"/>
          <w:lang w:val="en-US" w:eastAsia="zh-CN"/>
        </w:rPr>
        <w:t>’</w:t>
      </w:r>
      <w:r>
        <w:rPr>
          <w:rFonts w:hint="eastAsia"/>
          <w:lang w:val="en-US" w:eastAsia="zh-CN"/>
        </w:rPr>
        <w:t xml:space="preserve">s reply LS RAN2 further discussed the issues in </w:t>
      </w:r>
      <w:r>
        <w:t>[offline-106]</w:t>
      </w:r>
      <w:r>
        <w:rPr>
          <w:rFonts w:hint="eastAsia"/>
          <w:lang w:val="en-US" w:eastAsia="zh-CN"/>
        </w:rPr>
        <w:t xml:space="preserve"> of RAN2#118 meeting and reached further agreements as shown below:</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65" w:type="dxa"/>
          </w:tcPr>
          <w:p>
            <w:pPr>
              <w:keepNext w:val="0"/>
              <w:keepLines w:val="0"/>
              <w:widowControl/>
              <w:suppressLineNumbers w:val="0"/>
              <w:spacing w:before="0" w:beforeAutospacing="0" w:afterAutospacing="0"/>
              <w:ind w:left="0" w:right="0"/>
              <w:rPr>
                <w:rFonts w:hint="default"/>
                <w:sz w:val="20"/>
                <w:szCs w:val="20"/>
                <w:vertAlign w:val="baseline"/>
                <w:lang w:val="en-US" w:eastAsia="zh-CN"/>
              </w:rPr>
            </w:pPr>
            <w:r>
              <w:rPr>
                <w:rFonts w:hint="default"/>
                <w:sz w:val="20"/>
                <w:szCs w:val="20"/>
                <w:vertAlign w:val="baseline"/>
                <w:lang w:val="en-US" w:eastAsia="zh-CN"/>
              </w:rPr>
              <w:t>from offline 106 – second round</w:t>
            </w:r>
            <w:r>
              <w:rPr>
                <w:rFonts w:hint="eastAsia"/>
                <w:sz w:val="20"/>
                <w:szCs w:val="20"/>
                <w:vertAlign w:val="baseline"/>
                <w:lang w:val="en-US" w:eastAsia="zh-CN"/>
              </w:rPr>
              <w:t xml:space="preserve"> [</w:t>
            </w:r>
            <w:r>
              <w:rPr>
                <w:rFonts w:hint="default"/>
                <w:sz w:val="20"/>
                <w:szCs w:val="20"/>
              </w:rPr>
              <w:fldChar w:fldCharType="begin"/>
            </w:r>
            <w:r>
              <w:rPr>
                <w:rFonts w:hint="default"/>
                <w:sz w:val="20"/>
                <w:szCs w:val="20"/>
              </w:rPr>
              <w:instrText xml:space="preserve"> HYPERLINK "https://www.3gpp.org/ftp/TSG_RAN/WG2_RL2/TSGR2_118-e/Docs/R2-2206196.zip" </w:instrText>
            </w:r>
            <w:r>
              <w:rPr>
                <w:rFonts w:hint="default"/>
                <w:sz w:val="20"/>
                <w:szCs w:val="20"/>
              </w:rPr>
              <w:fldChar w:fldCharType="separate"/>
            </w:r>
            <w:r>
              <w:rPr>
                <w:rStyle w:val="64"/>
                <w:rFonts w:hint="default"/>
                <w:sz w:val="20"/>
                <w:szCs w:val="20"/>
              </w:rPr>
              <w:t>R2-2206196</w:t>
            </w:r>
            <w:r>
              <w:rPr>
                <w:rStyle w:val="64"/>
                <w:rFonts w:hint="default"/>
                <w:sz w:val="20"/>
                <w:szCs w:val="20"/>
              </w:rPr>
              <w:fldChar w:fldCharType="end"/>
            </w:r>
            <w:r>
              <w:rPr>
                <w:rFonts w:hint="eastAsia"/>
                <w:sz w:val="20"/>
                <w:szCs w:val="20"/>
                <w:vertAlign w:val="baseline"/>
                <w:lang w:val="en-US" w:eastAsia="zh-CN"/>
              </w:rPr>
              <w:t>]</w:t>
            </w:r>
            <w:r>
              <w:rPr>
                <w:rFonts w:hint="default"/>
                <w:sz w:val="20"/>
                <w:szCs w:val="20"/>
                <w:vertAlign w:val="baseline"/>
                <w:lang w:val="en-US" w:eastAsia="zh-CN"/>
              </w:rPr>
              <w:t>:</w:t>
            </w:r>
          </w:p>
          <w:p>
            <w:pPr>
              <w:keepNext w:val="0"/>
              <w:keepLines w:val="0"/>
              <w:widowControl/>
              <w:suppressLineNumbers w:val="0"/>
              <w:spacing w:before="0" w:beforeAutospacing="0" w:afterAutospacing="0"/>
              <w:ind w:left="0" w:right="0"/>
              <w:rPr>
                <w:rFonts w:hint="default"/>
                <w:sz w:val="20"/>
                <w:szCs w:val="20"/>
                <w:highlight w:val="none"/>
                <w:vertAlign w:val="baseline"/>
                <w:lang w:val="en-US" w:eastAsia="zh-CN"/>
              </w:rPr>
            </w:pPr>
            <w:r>
              <w:rPr>
                <w:rFonts w:hint="default"/>
                <w:sz w:val="20"/>
                <w:szCs w:val="20"/>
                <w:highlight w:val="none"/>
                <w:vertAlign w:val="baseline"/>
                <w:lang w:val="en-US" w:eastAsia="zh-CN"/>
              </w:rPr>
              <w:t xml:space="preserve">2.The following IEs/parameters are broadcast per neighbour cell in NTN: </w:t>
            </w:r>
          </w:p>
          <w:p>
            <w:pPr>
              <w:keepNext w:val="0"/>
              <w:keepLines w:val="0"/>
              <w:widowControl/>
              <w:suppressLineNumbers w:val="0"/>
              <w:spacing w:before="0" w:beforeAutospacing="0" w:afterAutospacing="0"/>
              <w:ind w:left="0" w:right="0"/>
              <w:rPr>
                <w:rFonts w:hint="default"/>
                <w:sz w:val="20"/>
                <w:szCs w:val="20"/>
                <w:highlight w:val="none"/>
                <w:vertAlign w:val="baseline"/>
                <w:lang w:val="en-US" w:eastAsia="zh-CN"/>
              </w:rPr>
            </w:pPr>
            <w:r>
              <w:rPr>
                <w:rFonts w:hint="default"/>
                <w:sz w:val="20"/>
                <w:szCs w:val="20"/>
                <w:highlight w:val="none"/>
                <w:vertAlign w:val="baseline"/>
                <w:lang w:val="en-US" w:eastAsia="zh-CN"/>
              </w:rPr>
              <w:tab/>
            </w:r>
            <w:r>
              <w:rPr>
                <w:rFonts w:hint="default"/>
                <w:sz w:val="20"/>
                <w:szCs w:val="20"/>
                <w:highlight w:val="none"/>
                <w:vertAlign w:val="baseline"/>
                <w:lang w:val="en-US" w:eastAsia="zh-CN"/>
              </w:rPr>
              <w:t xml:space="preserve">Ephemeris, </w:t>
            </w:r>
          </w:p>
          <w:p>
            <w:pPr>
              <w:keepNext w:val="0"/>
              <w:keepLines w:val="0"/>
              <w:widowControl/>
              <w:suppressLineNumbers w:val="0"/>
              <w:spacing w:before="0" w:beforeAutospacing="0" w:afterAutospacing="0"/>
              <w:ind w:left="0" w:right="0"/>
              <w:rPr>
                <w:rFonts w:hint="default"/>
                <w:sz w:val="20"/>
                <w:szCs w:val="20"/>
                <w:highlight w:val="none"/>
                <w:vertAlign w:val="baseline"/>
                <w:lang w:val="en-US" w:eastAsia="zh-CN"/>
              </w:rPr>
            </w:pPr>
            <w:r>
              <w:rPr>
                <w:rFonts w:hint="default"/>
                <w:sz w:val="20"/>
                <w:szCs w:val="20"/>
                <w:highlight w:val="none"/>
                <w:vertAlign w:val="baseline"/>
                <w:lang w:val="en-US" w:eastAsia="zh-CN"/>
              </w:rPr>
              <w:tab/>
            </w:r>
            <w:r>
              <w:rPr>
                <w:rFonts w:hint="default"/>
                <w:sz w:val="20"/>
                <w:szCs w:val="20"/>
                <w:highlight w:val="none"/>
                <w:vertAlign w:val="baseline"/>
                <w:lang w:val="en-US" w:eastAsia="zh-CN"/>
              </w:rPr>
              <w:t>DL and UL polarization,</w:t>
            </w:r>
          </w:p>
          <w:p>
            <w:pPr>
              <w:keepNext w:val="0"/>
              <w:keepLines w:val="0"/>
              <w:widowControl/>
              <w:suppressLineNumbers w:val="0"/>
              <w:spacing w:before="0" w:beforeAutospacing="0" w:afterAutospacing="0"/>
              <w:ind w:left="0" w:right="0"/>
              <w:rPr>
                <w:rFonts w:hint="default"/>
                <w:sz w:val="20"/>
                <w:szCs w:val="20"/>
                <w:highlight w:val="none"/>
                <w:vertAlign w:val="baseline"/>
                <w:lang w:val="en-US" w:eastAsia="zh-CN"/>
              </w:rPr>
            </w:pPr>
            <w:r>
              <w:rPr>
                <w:rFonts w:hint="default"/>
                <w:sz w:val="20"/>
                <w:szCs w:val="20"/>
                <w:highlight w:val="none"/>
                <w:vertAlign w:val="baseline"/>
                <w:lang w:val="en-US" w:eastAsia="zh-CN"/>
              </w:rPr>
              <w:tab/>
            </w:r>
            <w:r>
              <w:rPr>
                <w:rFonts w:hint="default"/>
                <w:sz w:val="20"/>
                <w:szCs w:val="20"/>
                <w:highlight w:val="none"/>
                <w:vertAlign w:val="baseline"/>
                <w:lang w:val="en-US" w:eastAsia="zh-CN"/>
              </w:rPr>
              <w:t>Epoch time of assistance information</w:t>
            </w:r>
          </w:p>
          <w:p>
            <w:pPr>
              <w:keepNext w:val="0"/>
              <w:keepLines w:val="0"/>
              <w:widowControl/>
              <w:suppressLineNumbers w:val="0"/>
              <w:spacing w:before="0" w:beforeAutospacing="0" w:afterAutospacing="0"/>
              <w:ind w:left="0" w:right="0"/>
              <w:rPr>
                <w:rFonts w:hint="default"/>
                <w:sz w:val="20"/>
                <w:szCs w:val="20"/>
                <w:highlight w:val="none"/>
                <w:vertAlign w:val="baseline"/>
                <w:lang w:val="en-US" w:eastAsia="zh-CN"/>
              </w:rPr>
            </w:pPr>
            <w:r>
              <w:rPr>
                <w:rFonts w:hint="default"/>
                <w:sz w:val="20"/>
                <w:szCs w:val="20"/>
                <w:highlight w:val="none"/>
                <w:vertAlign w:val="baseline"/>
                <w:lang w:val="en-US" w:eastAsia="zh-CN"/>
              </w:rPr>
              <w:tab/>
            </w:r>
            <w:r>
              <w:rPr>
                <w:rFonts w:hint="default"/>
                <w:sz w:val="20"/>
                <w:szCs w:val="20"/>
                <w:highlight w:val="none"/>
                <w:vertAlign w:val="baseline"/>
                <w:lang w:val="en-US" w:eastAsia="zh-CN"/>
              </w:rPr>
              <w:t>Validity duration</w:t>
            </w:r>
          </w:p>
          <w:p>
            <w:pPr>
              <w:keepNext w:val="0"/>
              <w:keepLines w:val="0"/>
              <w:widowControl/>
              <w:suppressLineNumbers w:val="0"/>
              <w:spacing w:before="0" w:beforeAutospacing="0" w:afterAutospacing="0"/>
              <w:ind w:left="0" w:right="0"/>
              <w:rPr>
                <w:rFonts w:hint="default"/>
                <w:sz w:val="20"/>
                <w:szCs w:val="20"/>
                <w:vertAlign w:val="baseline"/>
                <w:lang w:val="en-US" w:eastAsia="zh-CN"/>
              </w:rPr>
            </w:pPr>
            <w:r>
              <w:rPr>
                <w:rFonts w:hint="default"/>
                <w:sz w:val="20"/>
                <w:szCs w:val="20"/>
                <w:highlight w:val="none"/>
                <w:vertAlign w:val="baseline"/>
                <w:lang w:val="en-US" w:eastAsia="zh-CN"/>
              </w:rPr>
              <w:tab/>
            </w:r>
            <w:r>
              <w:rPr>
                <w:rFonts w:hint="default"/>
                <w:sz w:val="20"/>
                <w:szCs w:val="20"/>
                <w:highlight w:val="none"/>
                <w:vertAlign w:val="baseline"/>
                <w:lang w:val="en-US" w:eastAsia="zh-CN"/>
              </w:rPr>
              <w:t>FFS how to handle the validity timer for neighbour cell. FFS if epoch time can be same or different. FFS about other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5" w:type="dxa"/>
          </w:tcPr>
          <w:p>
            <w:pPr>
              <w:keepNext w:val="0"/>
              <w:keepLines w:val="0"/>
              <w:widowControl/>
              <w:suppressLineNumbers w:val="0"/>
              <w:spacing w:before="0" w:beforeAutospacing="0" w:afterAutospacing="0"/>
              <w:ind w:left="0" w:right="0"/>
              <w:rPr>
                <w:rFonts w:hint="default"/>
                <w:sz w:val="20"/>
                <w:szCs w:val="20"/>
                <w:vertAlign w:val="baseline"/>
                <w:lang w:val="en-US" w:eastAsia="zh-CN"/>
              </w:rPr>
            </w:pPr>
            <w:r>
              <w:rPr>
                <w:rFonts w:hint="default"/>
                <w:sz w:val="20"/>
                <w:szCs w:val="20"/>
                <w:vertAlign w:val="baseline"/>
                <w:lang w:val="en-US" w:eastAsia="zh-CN"/>
              </w:rPr>
              <w:t>Agreements via email – from offline 106 – second round</w:t>
            </w:r>
            <w:r>
              <w:rPr>
                <w:rFonts w:hint="eastAsia"/>
                <w:sz w:val="20"/>
                <w:szCs w:val="20"/>
                <w:vertAlign w:val="baseline"/>
                <w:lang w:val="en-US" w:eastAsia="zh-CN"/>
              </w:rPr>
              <w:t xml:space="preserve"> [</w:t>
            </w:r>
            <w:r>
              <w:rPr>
                <w:rFonts w:hint="default"/>
                <w:sz w:val="20"/>
                <w:szCs w:val="20"/>
              </w:rPr>
              <w:fldChar w:fldCharType="begin"/>
            </w:r>
            <w:r>
              <w:rPr>
                <w:rFonts w:hint="default"/>
                <w:sz w:val="20"/>
                <w:szCs w:val="20"/>
              </w:rPr>
              <w:instrText xml:space="preserve"> HYPERLINK "https://www.3gpp.org/ftp/TSG_RAN/WG2_RL2/TSGR2_118-e/Docs/R2-2206210.zip" </w:instrText>
            </w:r>
            <w:r>
              <w:rPr>
                <w:rFonts w:hint="default"/>
                <w:sz w:val="20"/>
                <w:szCs w:val="20"/>
              </w:rPr>
              <w:fldChar w:fldCharType="separate"/>
            </w:r>
            <w:r>
              <w:rPr>
                <w:rStyle w:val="64"/>
                <w:rFonts w:hint="default"/>
                <w:sz w:val="20"/>
                <w:szCs w:val="20"/>
              </w:rPr>
              <w:t>R2-2206210</w:t>
            </w:r>
            <w:r>
              <w:rPr>
                <w:rStyle w:val="64"/>
                <w:rFonts w:hint="default"/>
                <w:sz w:val="20"/>
                <w:szCs w:val="20"/>
              </w:rPr>
              <w:fldChar w:fldCharType="end"/>
            </w:r>
            <w:r>
              <w:rPr>
                <w:rFonts w:hint="eastAsia"/>
                <w:sz w:val="20"/>
                <w:szCs w:val="20"/>
                <w:vertAlign w:val="baseline"/>
                <w:lang w:val="en-US" w:eastAsia="zh-CN"/>
              </w:rPr>
              <w:t>]</w:t>
            </w:r>
            <w:r>
              <w:rPr>
                <w:rFonts w:hint="default"/>
                <w:sz w:val="20"/>
                <w:szCs w:val="20"/>
                <w:vertAlign w:val="baseline"/>
                <w:lang w:val="en-US" w:eastAsia="zh-CN"/>
              </w:rPr>
              <w:t>:</w:t>
            </w:r>
          </w:p>
          <w:p>
            <w:pPr>
              <w:keepNext w:val="0"/>
              <w:keepLines w:val="0"/>
              <w:widowControl/>
              <w:suppressLineNumbers w:val="0"/>
              <w:spacing w:before="0" w:beforeAutospacing="0" w:afterAutospacing="0"/>
              <w:ind w:left="0" w:right="0"/>
              <w:rPr>
                <w:rFonts w:hint="default"/>
                <w:sz w:val="20"/>
                <w:szCs w:val="20"/>
                <w:highlight w:val="none"/>
                <w:vertAlign w:val="baseline"/>
                <w:lang w:val="en-US" w:eastAsia="zh-CN"/>
              </w:rPr>
            </w:pPr>
            <w:r>
              <w:rPr>
                <w:rFonts w:hint="default"/>
                <w:sz w:val="20"/>
                <w:szCs w:val="20"/>
                <w:highlight w:val="none"/>
                <w:vertAlign w:val="baseline"/>
                <w:lang w:val="en-US" w:eastAsia="zh-CN"/>
              </w:rPr>
              <w:t>3.RAN2 signalling supports having the epoch time of the serving cell applicable to the neighbour cell’s assistance information (i.e. the same epoch time can be used for both cells).</w:t>
            </w:r>
          </w:p>
          <w:p>
            <w:pPr>
              <w:keepNext w:val="0"/>
              <w:keepLines w:val="0"/>
              <w:widowControl/>
              <w:suppressLineNumbers w:val="0"/>
              <w:spacing w:before="0" w:beforeAutospacing="0" w:afterAutospacing="0"/>
              <w:ind w:left="0" w:right="0"/>
              <w:rPr>
                <w:rFonts w:hint="default"/>
                <w:sz w:val="20"/>
                <w:szCs w:val="20"/>
                <w:highlight w:val="none"/>
                <w:vertAlign w:val="baseline"/>
                <w:lang w:val="en-US" w:eastAsia="zh-CN"/>
              </w:rPr>
            </w:pPr>
            <w:r>
              <w:rPr>
                <w:rFonts w:hint="default"/>
                <w:sz w:val="20"/>
                <w:szCs w:val="20"/>
                <w:highlight w:val="none"/>
                <w:vertAlign w:val="baseline"/>
                <w:lang w:val="en-US" w:eastAsia="zh-CN"/>
              </w:rPr>
              <w:t>4.Neighbour cell assistance information for NTN, including SMTC assistance information, is provided via SIB19.</w:t>
            </w:r>
          </w:p>
          <w:p>
            <w:pPr>
              <w:keepNext w:val="0"/>
              <w:keepLines w:val="0"/>
              <w:widowControl/>
              <w:suppressLineNumbers w:val="0"/>
              <w:spacing w:before="0" w:beforeAutospacing="0" w:afterAutospacing="0"/>
              <w:ind w:left="0" w:right="0"/>
              <w:rPr>
                <w:rFonts w:hint="default"/>
                <w:sz w:val="20"/>
                <w:szCs w:val="20"/>
                <w:highlight w:val="yellow"/>
                <w:vertAlign w:val="baseline"/>
                <w:lang w:val="en-US" w:eastAsia="zh-CN"/>
              </w:rPr>
            </w:pPr>
            <w:r>
              <w:rPr>
                <w:rFonts w:hint="default"/>
                <w:sz w:val="20"/>
                <w:szCs w:val="20"/>
                <w:highlight w:val="yellow"/>
                <w:vertAlign w:val="baseline"/>
                <w:lang w:val="en-US" w:eastAsia="zh-CN"/>
              </w:rPr>
              <w:t>5.Common TA parameters and Kmac of the neighbour cell are used to support IDLE/Inactive UEs in NTN to perform SMTC adjustments.</w:t>
            </w:r>
          </w:p>
          <w:p>
            <w:pPr>
              <w:keepNext w:val="0"/>
              <w:keepLines w:val="0"/>
              <w:widowControl/>
              <w:suppressLineNumbers w:val="0"/>
              <w:spacing w:before="0" w:beforeAutospacing="0" w:afterAutospacing="0"/>
              <w:ind w:left="0" w:right="0"/>
              <w:rPr>
                <w:rFonts w:hint="default"/>
                <w:sz w:val="20"/>
                <w:szCs w:val="20"/>
                <w:vertAlign w:val="baseline"/>
                <w:lang w:val="en-US" w:eastAsia="zh-CN"/>
              </w:rPr>
            </w:pPr>
            <w:r>
              <w:rPr>
                <w:rFonts w:hint="default"/>
                <w:sz w:val="20"/>
                <w:szCs w:val="20"/>
                <w:vertAlign w:val="baseline"/>
                <w:lang w:val="en-US" w:eastAsia="zh-CN"/>
              </w:rPr>
              <w:t>6.Target cell’s polarization information is provided via ntn-PolarizationDL-r17 and ntn-PolarizationUL-r17 in NTN-Config-r17 included in RRCReconfiguration comprising reconfigurationWithSync.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5" w:type="dxa"/>
          </w:tcPr>
          <w:p>
            <w:pPr>
              <w:keepNext w:val="0"/>
              <w:keepLines w:val="0"/>
              <w:widowControl/>
              <w:suppressLineNumbers w:val="0"/>
              <w:spacing w:before="0" w:beforeAutospacing="0" w:afterAutospacing="0"/>
              <w:ind w:left="0" w:right="0"/>
              <w:rPr>
                <w:rFonts w:hint="default"/>
                <w:sz w:val="20"/>
                <w:szCs w:val="20"/>
                <w:highlight w:val="none"/>
                <w:vertAlign w:val="baseline"/>
                <w:lang w:val="en-US" w:eastAsia="zh-CN"/>
              </w:rPr>
            </w:pPr>
            <w:r>
              <w:rPr>
                <w:rFonts w:hint="default"/>
                <w:sz w:val="20"/>
                <w:szCs w:val="20"/>
                <w:highlight w:val="none"/>
                <w:vertAlign w:val="baseline"/>
                <w:lang w:val="en-US" w:eastAsia="zh-CN"/>
              </w:rPr>
              <w:t>Agreements</w:t>
            </w:r>
            <w:r>
              <w:rPr>
                <w:rFonts w:hint="eastAsia"/>
                <w:sz w:val="20"/>
                <w:szCs w:val="20"/>
                <w:highlight w:val="none"/>
                <w:vertAlign w:val="baseline"/>
                <w:lang w:val="en-US" w:eastAsia="zh-CN"/>
              </w:rPr>
              <w:t>-</w:t>
            </w:r>
            <w:r>
              <w:rPr>
                <w:rFonts w:hint="default"/>
                <w:sz w:val="20"/>
                <w:szCs w:val="20"/>
                <w:highlight w:val="none"/>
                <w:vertAlign w:val="baseline"/>
                <w:lang w:val="en-US" w:eastAsia="zh-CN"/>
              </w:rPr>
              <w:t xml:space="preserve">from offline 106 – </w:t>
            </w:r>
            <w:r>
              <w:rPr>
                <w:rFonts w:hint="eastAsia"/>
                <w:sz w:val="20"/>
                <w:szCs w:val="20"/>
                <w:highlight w:val="none"/>
                <w:vertAlign w:val="baseline"/>
                <w:lang w:val="en-US" w:eastAsia="zh-CN"/>
              </w:rPr>
              <w:t>third</w:t>
            </w:r>
            <w:r>
              <w:rPr>
                <w:rFonts w:hint="default"/>
                <w:sz w:val="20"/>
                <w:szCs w:val="20"/>
                <w:highlight w:val="none"/>
                <w:vertAlign w:val="baseline"/>
                <w:lang w:val="en-US" w:eastAsia="zh-CN"/>
              </w:rPr>
              <w:t xml:space="preserve"> round:</w:t>
            </w:r>
            <w:r>
              <w:rPr>
                <w:rFonts w:hint="eastAsia"/>
                <w:sz w:val="20"/>
                <w:szCs w:val="20"/>
                <w:highlight w:val="none"/>
                <w:vertAlign w:val="baseline"/>
                <w:lang w:val="en-US" w:eastAsia="zh-CN"/>
              </w:rPr>
              <w:t>[</w:t>
            </w:r>
            <w:r>
              <w:rPr>
                <w:rFonts w:hint="default"/>
                <w:sz w:val="20"/>
                <w:szCs w:val="20"/>
                <w:highlight w:val="none"/>
              </w:rPr>
              <w:fldChar w:fldCharType="begin"/>
            </w:r>
            <w:r>
              <w:rPr>
                <w:rFonts w:hint="default"/>
                <w:sz w:val="20"/>
                <w:szCs w:val="20"/>
                <w:highlight w:val="none"/>
              </w:rPr>
              <w:instrText xml:space="preserve"> HYPERLINK "https://www.3gpp.org/ftp/TSG_RAN/WG2_RL2/TSGR2_118-e/Docs/R2-2206501.zip" </w:instrText>
            </w:r>
            <w:r>
              <w:rPr>
                <w:rFonts w:hint="default"/>
                <w:sz w:val="20"/>
                <w:szCs w:val="20"/>
                <w:highlight w:val="none"/>
              </w:rPr>
              <w:fldChar w:fldCharType="separate"/>
            </w:r>
            <w:r>
              <w:rPr>
                <w:rStyle w:val="64"/>
                <w:rFonts w:hint="default"/>
                <w:sz w:val="20"/>
                <w:szCs w:val="20"/>
                <w:highlight w:val="none"/>
              </w:rPr>
              <w:t>R2-2206501</w:t>
            </w:r>
            <w:r>
              <w:rPr>
                <w:rStyle w:val="64"/>
                <w:rFonts w:hint="default"/>
                <w:sz w:val="20"/>
                <w:szCs w:val="20"/>
                <w:highlight w:val="none"/>
              </w:rPr>
              <w:fldChar w:fldCharType="end"/>
            </w:r>
            <w:r>
              <w:rPr>
                <w:rFonts w:hint="eastAsia"/>
                <w:sz w:val="20"/>
                <w:szCs w:val="20"/>
                <w:highlight w:val="none"/>
                <w:vertAlign w:val="baseline"/>
                <w:lang w:val="en-US" w:eastAsia="zh-CN"/>
              </w:rPr>
              <w:t>]</w:t>
            </w:r>
          </w:p>
          <w:p>
            <w:pPr>
              <w:keepNext w:val="0"/>
              <w:keepLines w:val="0"/>
              <w:widowControl/>
              <w:suppressLineNumbers w:val="0"/>
              <w:spacing w:before="0" w:beforeAutospacing="0" w:afterAutospacing="0"/>
              <w:ind w:left="0" w:right="0"/>
              <w:rPr>
                <w:rFonts w:hint="default"/>
                <w:sz w:val="20"/>
                <w:szCs w:val="20"/>
                <w:highlight w:val="none"/>
                <w:vertAlign w:val="baseline"/>
                <w:lang w:val="en-US" w:eastAsia="zh-CN"/>
              </w:rPr>
            </w:pPr>
            <w:r>
              <w:rPr>
                <w:rFonts w:hint="default"/>
                <w:sz w:val="20"/>
                <w:szCs w:val="20"/>
                <w:highlight w:val="none"/>
                <w:vertAlign w:val="baseline"/>
                <w:lang w:val="en-US" w:eastAsia="zh-CN"/>
              </w:rPr>
              <w:t>2.Polarization information for RRM measurement purposes is provided via ntn-PolarizationDL-r17 and ntn-PolarizationUL-r17 in measurement configuration.</w:t>
            </w:r>
          </w:p>
          <w:p>
            <w:pPr>
              <w:keepNext w:val="0"/>
              <w:keepLines w:val="0"/>
              <w:widowControl/>
              <w:suppressLineNumbers w:val="0"/>
              <w:spacing w:before="0" w:beforeAutospacing="0" w:afterAutospacing="0"/>
              <w:ind w:left="0" w:right="0"/>
              <w:rPr>
                <w:rFonts w:hint="default"/>
                <w:sz w:val="20"/>
                <w:szCs w:val="20"/>
                <w:highlight w:val="none"/>
                <w:vertAlign w:val="baseline"/>
                <w:lang w:val="en-US" w:eastAsia="zh-CN"/>
              </w:rPr>
            </w:pPr>
            <w:r>
              <w:rPr>
                <w:rFonts w:hint="default"/>
                <w:sz w:val="20"/>
                <w:szCs w:val="20"/>
                <w:highlight w:val="none"/>
                <w:vertAlign w:val="baseline"/>
                <w:lang w:val="en-US" w:eastAsia="zh-CN"/>
              </w:rPr>
              <w:t>3.Solutions for reducing signalling overhead for the orbital part of the neighbour cell ephemeris will not be further discussed in NR NTNT Rel-17</w:t>
            </w:r>
          </w:p>
        </w:tc>
      </w:tr>
    </w:tbl>
    <w:p>
      <w:pPr>
        <w:numPr>
          <w:ilvl w:val="0"/>
          <w:numId w:val="0"/>
        </w:numPr>
        <w:ind w:leftChars="0"/>
        <w:rPr>
          <w:rFonts w:hint="default"/>
          <w:lang w:val="en-US" w:eastAsia="zh-CN"/>
        </w:rPr>
      </w:pPr>
      <w:r>
        <w:rPr>
          <w:rFonts w:hint="eastAsia"/>
          <w:lang w:val="en-US" w:eastAsia="zh-CN"/>
        </w:rPr>
        <w:t>Highlighted in yellow are assistance information (common TA and K-mac) needed for UE to adjust SMTCs in</w:t>
      </w:r>
      <w:r>
        <w:rPr>
          <w:rFonts w:hint="eastAsia"/>
          <w:highlight w:val="yellow"/>
          <w:lang w:val="en-US" w:eastAsia="zh-CN"/>
        </w:rPr>
        <w:t xml:space="preserve"> idle/inactive states</w:t>
      </w:r>
      <w:r>
        <w:rPr>
          <w:rFonts w:hint="eastAsia"/>
          <w:lang w:val="en-US" w:eastAsia="zh-CN"/>
        </w:rPr>
        <w:t xml:space="preserve"> which is agreed to be provided in SIB19.  Therefore, despite RAN1 only states that common TA is helpful, it is further confirmed by RAN2 that this information is required for SMTCs adjustment, which is required for reliable neighboring cell measurements.</w:t>
      </w:r>
    </w:p>
    <w:p>
      <w:pPr>
        <w:numPr>
          <w:ilvl w:val="0"/>
          <w:numId w:val="0"/>
        </w:numPr>
        <w:ind w:leftChars="0"/>
        <w:rPr>
          <w:rFonts w:hint="default"/>
          <w:b/>
          <w:bCs/>
          <w:lang w:val="en-US" w:eastAsia="zh-CN"/>
        </w:rPr>
      </w:pPr>
      <w:r>
        <w:rPr>
          <w:rFonts w:hint="eastAsia"/>
          <w:b/>
          <w:bCs/>
          <w:lang w:val="en-US" w:eastAsia="zh-CN"/>
        </w:rPr>
        <w:t>Observation 6: RAN2 further agreed that common TA and K-mac of neighboring cell is needed for UE to adjust SMTC in idle/inactive connected, which is necessary for reliable neighboring cell measurements.</w:t>
      </w:r>
    </w:p>
    <w:p>
      <w:pPr>
        <w:keepNext w:val="0"/>
        <w:keepLines w:val="0"/>
        <w:pageBreakBefore w:val="0"/>
        <w:widowControl/>
        <w:numPr>
          <w:ilvl w:val="0"/>
          <w:numId w:val="0"/>
        </w:numPr>
        <w:kinsoku/>
        <w:wordWrap/>
        <w:overflowPunct w:val="0"/>
        <w:topLinePunct w:val="0"/>
        <w:autoSpaceDE w:val="0"/>
        <w:autoSpaceDN w:val="0"/>
        <w:bidi w:val="0"/>
        <w:adjustRightInd w:val="0"/>
        <w:snapToGrid/>
        <w:ind w:leftChars="0"/>
        <w:textAlignment w:val="auto"/>
        <w:rPr>
          <w:rFonts w:hint="eastAsia"/>
          <w:lang w:val="en-US" w:eastAsia="zh-CN"/>
        </w:rPr>
      </w:pPr>
      <w:r>
        <w:rPr>
          <w:rFonts w:hint="eastAsia"/>
          <w:lang w:val="en-US" w:eastAsia="zh-CN"/>
        </w:rPr>
        <w:t>Based on above, it can be concluded that for idle/inactive UE below information are necessary for neighboring cell measurement:</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exact"/>
        <w:ind w:left="840" w:leftChars="0" w:hanging="420" w:firstLineChars="0"/>
        <w:textAlignment w:val="auto"/>
        <w:rPr>
          <w:rFonts w:hint="default"/>
          <w:b w:val="0"/>
          <w:bCs w:val="0"/>
          <w:lang w:val="en-US" w:eastAsia="zh-CN"/>
        </w:rPr>
      </w:pPr>
      <w:r>
        <w:rPr>
          <w:rFonts w:hint="eastAsia"/>
          <w:b w:val="0"/>
          <w:bCs w:val="0"/>
          <w:lang w:val="en-US" w:eastAsia="zh-CN"/>
        </w:rPr>
        <w:t>Ephemeris of neighboring cells</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exact"/>
        <w:ind w:left="840" w:leftChars="0" w:hanging="420" w:firstLineChars="0"/>
        <w:textAlignment w:val="auto"/>
        <w:rPr>
          <w:rFonts w:hint="default"/>
          <w:b w:val="0"/>
          <w:bCs w:val="0"/>
          <w:lang w:val="en-US" w:eastAsia="zh-CN"/>
        </w:rPr>
      </w:pPr>
      <w:r>
        <w:rPr>
          <w:rFonts w:hint="eastAsia"/>
          <w:b w:val="0"/>
          <w:bCs w:val="0"/>
          <w:lang w:val="en-US" w:eastAsia="zh-CN"/>
        </w:rPr>
        <w:t>Common TA of neighboring cell;</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exact"/>
        <w:ind w:left="840" w:leftChars="0" w:hanging="420" w:firstLineChars="0"/>
        <w:textAlignment w:val="auto"/>
        <w:rPr>
          <w:rFonts w:hint="eastAsia"/>
          <w:b w:val="0"/>
          <w:bCs w:val="0"/>
          <w:lang w:val="en-US" w:eastAsia="zh-CN"/>
        </w:rPr>
      </w:pPr>
      <w:r>
        <w:rPr>
          <w:rFonts w:hint="eastAsia"/>
          <w:b w:val="0"/>
          <w:bCs w:val="0"/>
          <w:lang w:val="en-US" w:eastAsia="zh-CN"/>
        </w:rPr>
        <w:t>K-Mac of neighboring cell;</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exact"/>
        <w:ind w:left="840" w:leftChars="0" w:hanging="420" w:firstLineChars="0"/>
        <w:textAlignment w:val="auto"/>
        <w:rPr>
          <w:rFonts w:hint="eastAsia"/>
          <w:b w:val="0"/>
          <w:bCs w:val="0"/>
          <w:lang w:val="en-US" w:eastAsia="zh-CN"/>
        </w:rPr>
      </w:pPr>
      <w:r>
        <w:rPr>
          <w:rFonts w:hint="eastAsia"/>
          <w:b w:val="0"/>
          <w:bCs w:val="0"/>
          <w:lang w:val="en-US" w:eastAsia="zh-CN"/>
        </w:rPr>
        <w:t xml:space="preserve">DL polarization </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exact"/>
        <w:ind w:left="840" w:leftChars="0" w:hanging="420" w:firstLineChars="0"/>
        <w:textAlignment w:val="auto"/>
        <w:rPr>
          <w:rFonts w:hint="eastAsia"/>
          <w:b w:val="0"/>
          <w:bCs w:val="0"/>
          <w:lang w:val="en-US" w:eastAsia="zh-CN"/>
        </w:rPr>
      </w:pPr>
      <w:r>
        <w:rPr>
          <w:rFonts w:hint="eastAsia"/>
          <w:b w:val="0"/>
          <w:bCs w:val="0"/>
          <w:lang w:val="en-US" w:eastAsia="zh-CN"/>
        </w:rPr>
        <w:t>validity time</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exact"/>
        <w:ind w:left="840" w:leftChars="0" w:hanging="420" w:firstLineChars="0"/>
        <w:textAlignment w:val="auto"/>
        <w:rPr>
          <w:rFonts w:hint="default"/>
          <w:b/>
          <w:bCs/>
          <w:lang w:val="en-US" w:eastAsia="zh-CN"/>
        </w:rPr>
      </w:pPr>
      <w:r>
        <w:rPr>
          <w:rFonts w:hint="eastAsia"/>
          <w:b w:val="0"/>
          <w:bCs w:val="0"/>
          <w:lang w:val="en-US" w:eastAsia="zh-CN"/>
        </w:rPr>
        <w:t>epochTime of assistance information (e.g., common TA)</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line="240" w:lineRule="exact"/>
        <w:ind w:left="420" w:leftChars="0"/>
        <w:textAlignment w:val="auto"/>
        <w:rPr>
          <w:rFonts w:hint="default"/>
          <w:b/>
          <w:bCs/>
          <w:lang w:val="en-US" w:eastAsia="zh-CN"/>
        </w:rPr>
      </w:pP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line="240" w:lineRule="auto"/>
        <w:ind w:leftChars="0"/>
        <w:textAlignment w:val="auto"/>
        <w:rPr>
          <w:rFonts w:hint="eastAsia"/>
          <w:b/>
          <w:bCs/>
          <w:highlight w:val="none"/>
          <w:lang w:val="en-US" w:eastAsia="zh-CN"/>
        </w:rPr>
      </w:pPr>
      <w:r>
        <w:rPr>
          <w:rFonts w:hint="eastAsia"/>
          <w:b/>
          <w:bCs/>
          <w:highlight w:val="none"/>
          <w:lang w:val="en-US" w:eastAsia="zh-CN"/>
        </w:rPr>
        <w:t>Observation 7: Below parameters are necessary for neighboring cell measurements when UE is in idle/inactive mode:</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exact"/>
        <w:ind w:left="840" w:leftChars="0" w:hanging="420" w:firstLineChars="0"/>
        <w:textAlignment w:val="auto"/>
        <w:rPr>
          <w:rFonts w:hint="default"/>
          <w:b/>
          <w:bCs/>
          <w:highlight w:val="none"/>
          <w:lang w:val="en-US" w:eastAsia="zh-CN"/>
        </w:rPr>
      </w:pPr>
      <w:r>
        <w:rPr>
          <w:rFonts w:hint="eastAsia"/>
          <w:b/>
          <w:bCs/>
          <w:highlight w:val="none"/>
          <w:lang w:val="en-US" w:eastAsia="zh-CN"/>
        </w:rPr>
        <w:t>Ephemeris;</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exact"/>
        <w:ind w:left="840" w:leftChars="0" w:hanging="420" w:firstLineChars="0"/>
        <w:textAlignment w:val="auto"/>
        <w:rPr>
          <w:rFonts w:hint="default"/>
          <w:b/>
          <w:bCs/>
          <w:highlight w:val="none"/>
          <w:lang w:val="en-US" w:eastAsia="zh-CN"/>
        </w:rPr>
      </w:pPr>
      <w:r>
        <w:rPr>
          <w:rFonts w:hint="eastAsia"/>
          <w:b/>
          <w:bCs/>
          <w:highlight w:val="none"/>
          <w:lang w:val="en-US" w:eastAsia="zh-CN"/>
        </w:rPr>
        <w:t>Common TA ;</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exact"/>
        <w:ind w:left="840" w:leftChars="0" w:hanging="420" w:firstLineChars="0"/>
        <w:textAlignment w:val="auto"/>
        <w:rPr>
          <w:rFonts w:hint="eastAsia"/>
          <w:b/>
          <w:bCs/>
          <w:highlight w:val="none"/>
          <w:lang w:val="en-US" w:eastAsia="zh-CN"/>
        </w:rPr>
      </w:pPr>
      <w:r>
        <w:rPr>
          <w:rFonts w:hint="eastAsia"/>
          <w:b/>
          <w:bCs/>
          <w:highlight w:val="none"/>
          <w:lang w:val="en-US" w:eastAsia="zh-CN"/>
        </w:rPr>
        <w:t>Kmac;</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exact"/>
        <w:ind w:left="840" w:leftChars="0" w:hanging="420" w:firstLineChars="0"/>
        <w:textAlignment w:val="auto"/>
        <w:rPr>
          <w:rFonts w:hint="eastAsia"/>
          <w:b/>
          <w:bCs/>
          <w:highlight w:val="none"/>
          <w:lang w:val="en-US" w:eastAsia="zh-CN"/>
        </w:rPr>
      </w:pPr>
      <w:r>
        <w:rPr>
          <w:rFonts w:hint="eastAsia"/>
          <w:b/>
          <w:bCs/>
          <w:highlight w:val="none"/>
          <w:lang w:val="en-US" w:eastAsia="zh-CN"/>
        </w:rPr>
        <w:t xml:space="preserve">DL polarization </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exact"/>
        <w:ind w:left="840" w:leftChars="0" w:hanging="420" w:firstLineChars="0"/>
        <w:textAlignment w:val="auto"/>
        <w:rPr>
          <w:rFonts w:hint="eastAsia"/>
          <w:b/>
          <w:bCs/>
          <w:highlight w:val="none"/>
          <w:lang w:val="en-US" w:eastAsia="zh-CN"/>
        </w:rPr>
      </w:pPr>
      <w:r>
        <w:rPr>
          <w:rFonts w:hint="eastAsia"/>
          <w:b/>
          <w:bCs/>
          <w:highlight w:val="none"/>
          <w:lang w:val="en-US" w:eastAsia="zh-CN"/>
        </w:rPr>
        <w:t>validity time</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exact"/>
        <w:ind w:left="840" w:leftChars="0" w:hanging="420" w:firstLineChars="0"/>
        <w:textAlignment w:val="auto"/>
        <w:rPr>
          <w:rFonts w:hint="default"/>
          <w:b/>
          <w:bCs/>
          <w:highlight w:val="none"/>
          <w:lang w:val="en-US" w:eastAsia="zh-CN"/>
        </w:rPr>
      </w:pPr>
      <w:r>
        <w:rPr>
          <w:rFonts w:hint="eastAsia"/>
          <w:b/>
          <w:bCs/>
          <w:highlight w:val="none"/>
          <w:lang w:val="en-US" w:eastAsia="zh-CN"/>
        </w:rPr>
        <w:t>epochTime of assistance information (e.g., common TA)</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line="240" w:lineRule="exact"/>
        <w:textAlignment w:val="auto"/>
        <w:rPr>
          <w:rFonts w:hint="eastAsia"/>
          <w:b/>
          <w:bCs/>
          <w:highlight w:val="none"/>
          <w:lang w:val="en-US" w:eastAsia="zh-CN"/>
        </w:rPr>
      </w:pPr>
    </w:p>
    <w:p>
      <w:pPr>
        <w:keepNext w:val="0"/>
        <w:keepLines w:val="0"/>
        <w:pageBreakBefore w:val="0"/>
        <w:widowControl/>
        <w:numPr>
          <w:ilvl w:val="0"/>
          <w:numId w:val="0"/>
        </w:numPr>
        <w:kinsoku/>
        <w:wordWrap/>
        <w:overflowPunct w:val="0"/>
        <w:topLinePunct w:val="0"/>
        <w:autoSpaceDE w:val="0"/>
        <w:autoSpaceDN w:val="0"/>
        <w:bidi w:val="0"/>
        <w:adjustRightInd w:val="0"/>
        <w:snapToGrid/>
        <w:ind w:leftChars="0"/>
        <w:textAlignment w:val="auto"/>
        <w:rPr>
          <w:rFonts w:hint="eastAsia"/>
          <w:lang w:val="en-US" w:eastAsia="zh-CN"/>
        </w:rPr>
      </w:pPr>
      <w:r>
        <w:rPr>
          <w:rFonts w:hint="eastAsia"/>
          <w:lang w:val="en-US" w:eastAsia="zh-CN"/>
        </w:rPr>
        <w:t>For idle/inactive UE, all above information can already be provided by NW in SIB19 through NTN-config. If NW intends for UE to measure neighboring cell measurements on certain frequencies, NW will provide the required information in SIB19, which is NW implementation. No further clarification is needed.</w:t>
      </w:r>
    </w:p>
    <w:p>
      <w:pPr>
        <w:keepNext w:val="0"/>
        <w:keepLines w:val="0"/>
        <w:pageBreakBefore w:val="0"/>
        <w:widowControl/>
        <w:numPr>
          <w:ilvl w:val="0"/>
          <w:numId w:val="0"/>
        </w:numPr>
        <w:kinsoku/>
        <w:wordWrap/>
        <w:overflowPunct w:val="0"/>
        <w:topLinePunct w:val="0"/>
        <w:autoSpaceDE w:val="0"/>
        <w:autoSpaceDN w:val="0"/>
        <w:bidi w:val="0"/>
        <w:adjustRightInd w:val="0"/>
        <w:snapToGrid/>
        <w:ind w:leftChars="0"/>
        <w:textAlignment w:val="auto"/>
        <w:rPr>
          <w:rFonts w:hint="eastAsia"/>
          <w:lang w:val="en-US" w:eastAsia="zh-CN"/>
        </w:rPr>
      </w:pPr>
      <w:r>
        <w:rPr>
          <w:rFonts w:hint="eastAsia"/>
          <w:b/>
          <w:bCs/>
          <w:highlight w:val="none"/>
          <w:lang w:val="en-US" w:eastAsia="zh-CN"/>
        </w:rPr>
        <w:t>Observation 8: Current signalling can already support required information for idle/inactive neighboring cell measurement as descried in observation 6, which is guaranteed by proper NW implementation</w:t>
      </w:r>
      <w:r>
        <w:rPr>
          <w:rFonts w:hint="eastAsia"/>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ind w:leftChars="0"/>
        <w:textAlignment w:val="auto"/>
        <w:rPr>
          <w:rFonts w:hint="eastAsia"/>
          <w:sz w:val="21"/>
          <w:szCs w:val="21"/>
          <w:lang w:val="en-US" w:eastAsia="zh-CN"/>
        </w:rPr>
      </w:pPr>
      <w:r>
        <w:rPr>
          <w:rFonts w:hint="eastAsia"/>
          <w:sz w:val="21"/>
          <w:szCs w:val="21"/>
          <w:lang w:val="en-US" w:eastAsia="zh-CN"/>
        </w:rPr>
        <w:t xml:space="preserve">When PCIs are present in </w:t>
      </w:r>
      <w:r>
        <w:rPr>
          <w:bCs/>
          <w:sz w:val="21"/>
          <w:szCs w:val="21"/>
        </w:rPr>
        <w:t xml:space="preserve">NTN-NeighCellConfig </w:t>
      </w:r>
      <w:r>
        <w:rPr>
          <w:rFonts w:hint="eastAsia"/>
          <w:bCs/>
          <w:sz w:val="21"/>
          <w:szCs w:val="21"/>
          <w:lang w:val="en-US" w:eastAsia="zh-CN"/>
        </w:rPr>
        <w:t xml:space="preserve">of </w:t>
      </w:r>
      <w:r>
        <w:rPr>
          <w:rFonts w:hint="eastAsia"/>
          <w:sz w:val="21"/>
          <w:szCs w:val="21"/>
          <w:lang w:val="en-US" w:eastAsia="zh-CN"/>
        </w:rPr>
        <w:t xml:space="preserve">SIB19, it is assumed that NTN-Config applies at least on the PCIs indicated in SIB19, if PCIS are not configured, it can be assumed that the NTN-Config applicable to all detected PCIs on the associated frequency. In addition, SIB3/4 can configures UE with cell and frequency specific information for both neighboring cell measurements and cell reselection, where cell specific parameters associated with each PCIs are used for cell reselection criteria evaluation. </w:t>
      </w:r>
    </w:p>
    <w:p>
      <w:pPr>
        <w:keepNext w:val="0"/>
        <w:keepLines w:val="0"/>
        <w:pageBreakBefore w:val="0"/>
        <w:widowControl/>
        <w:numPr>
          <w:ilvl w:val="0"/>
          <w:numId w:val="0"/>
        </w:numPr>
        <w:kinsoku/>
        <w:wordWrap/>
        <w:overflowPunct w:val="0"/>
        <w:topLinePunct w:val="0"/>
        <w:autoSpaceDE w:val="0"/>
        <w:autoSpaceDN w:val="0"/>
        <w:bidi w:val="0"/>
        <w:adjustRightInd w:val="0"/>
        <w:snapToGrid/>
        <w:ind w:leftChars="0"/>
        <w:textAlignment w:val="auto"/>
        <w:rPr>
          <w:rFonts w:hint="default"/>
          <w:b/>
          <w:bCs/>
          <w:sz w:val="21"/>
          <w:szCs w:val="21"/>
          <w:lang w:val="en-US" w:eastAsia="zh-CN"/>
        </w:rPr>
      </w:pPr>
      <w:r>
        <w:rPr>
          <w:rFonts w:hint="eastAsia"/>
          <w:b/>
          <w:bCs/>
          <w:sz w:val="21"/>
          <w:szCs w:val="21"/>
          <w:lang w:val="en-US" w:eastAsia="zh-CN"/>
        </w:rPr>
        <w:t>Observation 9: SIB3/4 contains frequency and optional cell specific parameters for neighboring cell reselection and measurements where cell specific parameters associated to each PCI are used for  cell reselection criteria evaluation.</w:t>
      </w:r>
    </w:p>
    <w:p>
      <w:pPr>
        <w:keepNext w:val="0"/>
        <w:keepLines w:val="0"/>
        <w:pageBreakBefore w:val="0"/>
        <w:widowControl/>
        <w:numPr>
          <w:ilvl w:val="0"/>
          <w:numId w:val="0"/>
        </w:numPr>
        <w:kinsoku/>
        <w:wordWrap/>
        <w:overflowPunct w:val="0"/>
        <w:topLinePunct w:val="0"/>
        <w:autoSpaceDE w:val="0"/>
        <w:autoSpaceDN w:val="0"/>
        <w:bidi w:val="0"/>
        <w:adjustRightInd w:val="0"/>
        <w:snapToGrid/>
        <w:ind w:leftChars="0"/>
        <w:textAlignment w:val="auto"/>
        <w:rPr>
          <w:rFonts w:hint="eastAsia"/>
          <w:sz w:val="21"/>
          <w:szCs w:val="21"/>
          <w:lang w:val="en-US" w:eastAsia="zh-CN"/>
        </w:rPr>
      </w:pPr>
      <w:r>
        <w:rPr>
          <w:rFonts w:hint="eastAsia"/>
          <w:sz w:val="21"/>
          <w:szCs w:val="21"/>
          <w:lang w:val="en-US" w:eastAsia="zh-CN"/>
        </w:rPr>
        <w:t>Considering current signalling structure, there could be below cases for the same frequency indicated in SIB19 and SIB3/4：</w:t>
      </w:r>
    </w:p>
    <w:p>
      <w:pPr>
        <w:keepNext w:val="0"/>
        <w:keepLines w:val="0"/>
        <w:pageBreakBefore w:val="0"/>
        <w:widowControl/>
        <w:numPr>
          <w:ilvl w:val="0"/>
          <w:numId w:val="6"/>
        </w:numPr>
        <w:kinsoku/>
        <w:wordWrap/>
        <w:overflowPunct w:val="0"/>
        <w:topLinePunct w:val="0"/>
        <w:autoSpaceDE w:val="0"/>
        <w:autoSpaceDN w:val="0"/>
        <w:bidi w:val="0"/>
        <w:adjustRightInd w:val="0"/>
        <w:snapToGrid/>
        <w:ind w:left="420" w:leftChars="0" w:hanging="420" w:firstLineChars="0"/>
        <w:textAlignment w:val="auto"/>
        <w:rPr>
          <w:rFonts w:hint="default"/>
          <w:sz w:val="21"/>
          <w:szCs w:val="21"/>
          <w:lang w:val="en-US" w:eastAsia="zh-CN"/>
        </w:rPr>
      </w:pPr>
      <w:r>
        <w:rPr>
          <w:rFonts w:hint="eastAsia"/>
          <w:sz w:val="21"/>
          <w:szCs w:val="21"/>
          <w:lang w:val="en-US" w:eastAsia="zh-CN"/>
        </w:rPr>
        <w:t xml:space="preserve">Case 1: When PCIs are NOT present in </w:t>
      </w:r>
      <w:r>
        <w:rPr>
          <w:bCs/>
          <w:sz w:val="21"/>
          <w:szCs w:val="21"/>
        </w:rPr>
        <w:t>NTN-NeighCellConfig</w:t>
      </w:r>
      <w:r>
        <w:rPr>
          <w:rFonts w:hint="eastAsia"/>
          <w:bCs/>
          <w:sz w:val="21"/>
          <w:szCs w:val="21"/>
          <w:lang w:val="en-US" w:eastAsia="zh-CN"/>
        </w:rPr>
        <w:t xml:space="preserve"> of</w:t>
      </w:r>
      <w:r>
        <w:rPr>
          <w:bCs/>
          <w:sz w:val="21"/>
          <w:szCs w:val="21"/>
        </w:rPr>
        <w:t xml:space="preserve"> </w:t>
      </w:r>
      <w:r>
        <w:rPr>
          <w:rFonts w:hint="eastAsia"/>
          <w:sz w:val="21"/>
          <w:szCs w:val="21"/>
          <w:lang w:val="en-US" w:eastAsia="zh-CN"/>
        </w:rPr>
        <w:t>SIB19</w:t>
      </w:r>
    </w:p>
    <w:p>
      <w:pPr>
        <w:pStyle w:val="282"/>
        <w:numPr>
          <w:ilvl w:val="0"/>
          <w:numId w:val="7"/>
        </w:numPr>
        <w:adjustRightInd w:val="0"/>
        <w:snapToGrid w:val="0"/>
        <w:spacing w:after="156" w:afterLines="50" w:line="288" w:lineRule="auto"/>
        <w:ind w:left="840" w:leftChars="0" w:hanging="420" w:firstLineChars="0"/>
        <w:rPr>
          <w:bCs/>
          <w:sz w:val="21"/>
          <w:szCs w:val="21"/>
        </w:rPr>
      </w:pPr>
      <w:r>
        <w:rPr>
          <w:bCs/>
          <w:sz w:val="21"/>
          <w:szCs w:val="21"/>
        </w:rPr>
        <w:t>Case 1</w:t>
      </w:r>
      <w:r>
        <w:rPr>
          <w:rFonts w:hint="eastAsia"/>
          <w:bCs/>
          <w:sz w:val="21"/>
          <w:szCs w:val="21"/>
          <w:lang w:val="en-US" w:eastAsia="zh-CN"/>
        </w:rPr>
        <w:t>-1</w:t>
      </w:r>
      <w:r>
        <w:rPr>
          <w:bCs/>
          <w:sz w:val="21"/>
          <w:szCs w:val="21"/>
        </w:rPr>
        <w:t xml:space="preserve">: A detected PCI is in the PCI list of </w:t>
      </w:r>
      <w:r>
        <w:rPr>
          <w:rFonts w:hint="eastAsia"/>
          <w:bCs/>
          <w:sz w:val="21"/>
          <w:szCs w:val="21"/>
          <w:lang w:val="en-US" w:eastAsia="zh-CN"/>
        </w:rPr>
        <w:t>SIB3/</w:t>
      </w:r>
      <w:r>
        <w:rPr>
          <w:bCs/>
          <w:sz w:val="21"/>
          <w:szCs w:val="21"/>
        </w:rPr>
        <w:t xml:space="preserve">4. </w:t>
      </w:r>
    </w:p>
    <w:p>
      <w:pPr>
        <w:pStyle w:val="282"/>
        <w:numPr>
          <w:ilvl w:val="0"/>
          <w:numId w:val="7"/>
        </w:numPr>
        <w:adjustRightInd w:val="0"/>
        <w:snapToGrid w:val="0"/>
        <w:spacing w:after="156" w:afterLines="50" w:line="288" w:lineRule="auto"/>
        <w:ind w:left="840" w:leftChars="0" w:hanging="420" w:firstLineChars="0"/>
        <w:rPr>
          <w:bCs/>
          <w:sz w:val="21"/>
          <w:szCs w:val="21"/>
        </w:rPr>
      </w:pPr>
      <w:r>
        <w:rPr>
          <w:bCs/>
          <w:sz w:val="21"/>
          <w:szCs w:val="21"/>
        </w:rPr>
        <w:t>Case 1</w:t>
      </w:r>
      <w:r>
        <w:rPr>
          <w:rFonts w:hint="eastAsia"/>
          <w:bCs/>
          <w:sz w:val="21"/>
          <w:szCs w:val="21"/>
          <w:lang w:val="en-US" w:eastAsia="zh-CN"/>
        </w:rPr>
        <w:t>-2</w:t>
      </w:r>
      <w:r>
        <w:rPr>
          <w:bCs/>
          <w:sz w:val="21"/>
          <w:szCs w:val="21"/>
        </w:rPr>
        <w:t xml:space="preserve">: A detected PCI is </w:t>
      </w:r>
      <w:r>
        <w:rPr>
          <w:rFonts w:hint="eastAsia"/>
          <w:bCs/>
          <w:sz w:val="21"/>
          <w:szCs w:val="21"/>
          <w:lang w:val="en-US" w:eastAsia="zh-CN"/>
        </w:rPr>
        <w:t xml:space="preserve">NOT </w:t>
      </w:r>
      <w:r>
        <w:rPr>
          <w:bCs/>
          <w:sz w:val="21"/>
          <w:szCs w:val="21"/>
        </w:rPr>
        <w:t>in the PCI list of SIB</w:t>
      </w:r>
      <w:r>
        <w:rPr>
          <w:rFonts w:hint="eastAsia"/>
          <w:bCs/>
          <w:sz w:val="21"/>
          <w:szCs w:val="21"/>
          <w:lang w:val="en-US" w:eastAsia="zh-CN"/>
        </w:rPr>
        <w:t>3/</w:t>
      </w:r>
      <w:r>
        <w:rPr>
          <w:bCs/>
          <w:sz w:val="21"/>
          <w:szCs w:val="21"/>
        </w:rPr>
        <w:t>4.</w:t>
      </w:r>
    </w:p>
    <w:p>
      <w:pPr>
        <w:pStyle w:val="282"/>
        <w:numPr>
          <w:ilvl w:val="0"/>
          <w:numId w:val="7"/>
        </w:numPr>
        <w:adjustRightInd w:val="0"/>
        <w:snapToGrid w:val="0"/>
        <w:spacing w:after="156" w:afterLines="50" w:line="288" w:lineRule="auto"/>
        <w:ind w:left="840" w:leftChars="0" w:hanging="420" w:firstLineChars="0"/>
        <w:rPr>
          <w:bCs/>
          <w:sz w:val="21"/>
          <w:szCs w:val="21"/>
        </w:rPr>
      </w:pPr>
      <w:r>
        <w:rPr>
          <w:rFonts w:hint="eastAsia"/>
          <w:bCs/>
          <w:sz w:val="21"/>
          <w:szCs w:val="21"/>
          <w:lang w:val="en-US" w:eastAsia="zh-CN"/>
        </w:rPr>
        <w:t>Case 1-3: SIB3/4 doesn</w:t>
      </w:r>
      <w:r>
        <w:rPr>
          <w:rFonts w:hint="default"/>
          <w:bCs/>
          <w:sz w:val="21"/>
          <w:szCs w:val="21"/>
          <w:lang w:val="en-US" w:eastAsia="zh-CN"/>
        </w:rPr>
        <w:t>’</w:t>
      </w:r>
      <w:r>
        <w:rPr>
          <w:rFonts w:hint="eastAsia"/>
          <w:bCs/>
          <w:sz w:val="21"/>
          <w:szCs w:val="21"/>
          <w:lang w:val="en-US" w:eastAsia="zh-CN"/>
        </w:rPr>
        <w:t>t configured with PCI list</w:t>
      </w:r>
    </w:p>
    <w:p>
      <w:pPr>
        <w:keepNext w:val="0"/>
        <w:keepLines w:val="0"/>
        <w:pageBreakBefore w:val="0"/>
        <w:widowControl/>
        <w:numPr>
          <w:ilvl w:val="0"/>
          <w:numId w:val="0"/>
        </w:numPr>
        <w:kinsoku/>
        <w:wordWrap/>
        <w:overflowPunct w:val="0"/>
        <w:topLinePunct w:val="0"/>
        <w:autoSpaceDE w:val="0"/>
        <w:autoSpaceDN w:val="0"/>
        <w:bidi w:val="0"/>
        <w:adjustRightInd w:val="0"/>
        <w:snapToGrid/>
        <w:ind w:leftChars="0"/>
        <w:textAlignment w:val="auto"/>
        <w:rPr>
          <w:rFonts w:hint="default"/>
          <w:sz w:val="21"/>
          <w:szCs w:val="21"/>
          <w:lang w:val="en-US" w:eastAsia="zh-CN"/>
        </w:rPr>
      </w:pPr>
      <w:r>
        <w:rPr>
          <w:rFonts w:hint="eastAsia"/>
          <w:bCs/>
          <w:sz w:val="21"/>
          <w:szCs w:val="21"/>
          <w:lang w:val="en-US" w:eastAsia="zh-CN"/>
        </w:rPr>
        <w:t xml:space="preserve">For case 1-1 When PCIs are </w:t>
      </w:r>
      <w:r>
        <w:rPr>
          <w:rFonts w:hint="eastAsia"/>
          <w:sz w:val="21"/>
          <w:szCs w:val="21"/>
          <w:lang w:val="en-US" w:eastAsia="zh-CN"/>
        </w:rPr>
        <w:t xml:space="preserve">NOT present in </w:t>
      </w:r>
      <w:r>
        <w:rPr>
          <w:bCs/>
          <w:sz w:val="21"/>
          <w:szCs w:val="21"/>
        </w:rPr>
        <w:t>NTN-NeighCellConfig</w:t>
      </w:r>
      <w:r>
        <w:rPr>
          <w:rFonts w:hint="eastAsia"/>
          <w:bCs/>
          <w:sz w:val="21"/>
          <w:szCs w:val="21"/>
          <w:lang w:val="en-US" w:eastAsia="zh-CN"/>
        </w:rPr>
        <w:t xml:space="preserve"> of </w:t>
      </w:r>
      <w:r>
        <w:rPr>
          <w:rFonts w:hint="eastAsia"/>
          <w:sz w:val="21"/>
          <w:szCs w:val="21"/>
          <w:lang w:val="en-US" w:eastAsia="zh-CN"/>
        </w:rPr>
        <w:t xml:space="preserve">SIB19, it is assumed that the NTN-Config is applicable for all possible PCIs detected in this frequency. In this case, UE can apply the cell specific configured in SIB3/4 for neighboring cell measurements, which shall be intended behavior. While current stage 2 leaves it to UE implementation, which is not desired. For case 1-2 UE can still performs neighboring cell measurement on the PCIs included in SIB3/4 or on the detected PCIs, but it may not be the PCIs that NW interested for cell reslection as no criterion can be applied. Therefore it is fine to leave it to UE implementation. As for case 1-3, only frequency specific parameters are presented in both </w:t>
      </w:r>
      <w:r>
        <w:rPr>
          <w:bCs/>
          <w:sz w:val="21"/>
          <w:szCs w:val="21"/>
        </w:rPr>
        <w:t>NTN-NeighCellConfig</w:t>
      </w:r>
      <w:r>
        <w:rPr>
          <w:rFonts w:hint="eastAsia"/>
          <w:bCs/>
          <w:sz w:val="21"/>
          <w:szCs w:val="21"/>
          <w:lang w:val="en-US" w:eastAsia="zh-CN"/>
        </w:rPr>
        <w:t xml:space="preserve"> of</w:t>
      </w:r>
      <w:r>
        <w:rPr>
          <w:bCs/>
          <w:sz w:val="21"/>
          <w:szCs w:val="21"/>
        </w:rPr>
        <w:t xml:space="preserve"> </w:t>
      </w:r>
      <w:r>
        <w:rPr>
          <w:rFonts w:hint="eastAsia"/>
          <w:sz w:val="21"/>
          <w:szCs w:val="21"/>
          <w:lang w:val="en-US" w:eastAsia="zh-CN"/>
        </w:rPr>
        <w:t xml:space="preserve">SIB19 and SIB3/4, UE will measure based on all possible PCIs, which is legacy behavior. </w:t>
      </w:r>
    </w:p>
    <w:p>
      <w:pPr>
        <w:keepNext w:val="0"/>
        <w:keepLines w:val="0"/>
        <w:pageBreakBefore w:val="0"/>
        <w:widowControl/>
        <w:numPr>
          <w:ilvl w:val="0"/>
          <w:numId w:val="0"/>
        </w:numPr>
        <w:kinsoku/>
        <w:wordWrap/>
        <w:overflowPunct w:val="0"/>
        <w:topLinePunct w:val="0"/>
        <w:autoSpaceDE w:val="0"/>
        <w:autoSpaceDN w:val="0"/>
        <w:bidi w:val="0"/>
        <w:adjustRightInd w:val="0"/>
        <w:snapToGrid/>
        <w:ind w:leftChars="0"/>
        <w:textAlignment w:val="auto"/>
        <w:rPr>
          <w:rFonts w:hint="eastAsia"/>
          <w:sz w:val="21"/>
          <w:szCs w:val="21"/>
          <w:lang w:val="en-US" w:eastAsia="zh-CN"/>
        </w:rPr>
      </w:pPr>
      <w:r>
        <w:rPr>
          <w:rFonts w:hint="eastAsia"/>
          <w:b/>
          <w:bCs/>
          <w:sz w:val="21"/>
          <w:szCs w:val="21"/>
          <w:lang w:val="en-US" w:eastAsia="zh-CN"/>
        </w:rPr>
        <w:t xml:space="preserve">Observation 10: When PCIs are not present in </w:t>
      </w:r>
      <w:r>
        <w:rPr>
          <w:b/>
          <w:bCs/>
          <w:sz w:val="21"/>
          <w:szCs w:val="21"/>
        </w:rPr>
        <w:t>NTN-NeighCellConfig</w:t>
      </w:r>
      <w:r>
        <w:rPr>
          <w:rFonts w:hint="eastAsia"/>
          <w:b/>
          <w:bCs/>
          <w:sz w:val="21"/>
          <w:szCs w:val="21"/>
          <w:lang w:val="en-US" w:eastAsia="zh-CN"/>
        </w:rPr>
        <w:t xml:space="preserve"> of</w:t>
      </w:r>
      <w:r>
        <w:rPr>
          <w:b/>
          <w:bCs/>
          <w:sz w:val="21"/>
          <w:szCs w:val="21"/>
        </w:rPr>
        <w:t xml:space="preserve"> </w:t>
      </w:r>
      <w:r>
        <w:rPr>
          <w:rFonts w:hint="eastAsia"/>
          <w:b/>
          <w:bCs/>
          <w:sz w:val="21"/>
          <w:szCs w:val="21"/>
          <w:lang w:val="en-US" w:eastAsia="zh-CN"/>
        </w:rPr>
        <w:t>SIB19 it is assumed that the NTN-Config is applicable for all possible PCIs detected in this frequency, which makes it possible for UE to perform NTN neighboring cell measurements.</w:t>
      </w:r>
    </w:p>
    <w:p>
      <w:pPr>
        <w:keepNext w:val="0"/>
        <w:keepLines w:val="0"/>
        <w:pageBreakBefore w:val="0"/>
        <w:widowControl/>
        <w:numPr>
          <w:ilvl w:val="0"/>
          <w:numId w:val="0"/>
        </w:numPr>
        <w:kinsoku/>
        <w:wordWrap/>
        <w:overflowPunct w:val="0"/>
        <w:topLinePunct w:val="0"/>
        <w:autoSpaceDE w:val="0"/>
        <w:autoSpaceDN w:val="0"/>
        <w:bidi w:val="0"/>
        <w:adjustRightInd w:val="0"/>
        <w:snapToGrid/>
        <w:ind w:leftChars="0"/>
        <w:textAlignment w:val="auto"/>
        <w:rPr>
          <w:rFonts w:hint="eastAsia"/>
          <w:b/>
          <w:bCs/>
          <w:sz w:val="21"/>
          <w:szCs w:val="21"/>
          <w:lang w:val="en-US" w:eastAsia="zh-CN"/>
        </w:rPr>
      </w:pPr>
      <w:r>
        <w:rPr>
          <w:rFonts w:hint="eastAsia"/>
          <w:b/>
          <w:bCs/>
          <w:sz w:val="21"/>
          <w:szCs w:val="21"/>
          <w:lang w:val="en-US" w:eastAsia="zh-CN"/>
        </w:rPr>
        <w:t xml:space="preserve">Proposal 1: When PCIs are not present in </w:t>
      </w:r>
      <w:r>
        <w:rPr>
          <w:b/>
          <w:bCs/>
          <w:sz w:val="21"/>
          <w:szCs w:val="21"/>
        </w:rPr>
        <w:t>NTN-NeighCellConfig</w:t>
      </w:r>
      <w:r>
        <w:rPr>
          <w:rFonts w:hint="eastAsia"/>
          <w:b/>
          <w:bCs/>
          <w:sz w:val="21"/>
          <w:szCs w:val="21"/>
          <w:lang w:val="en-US" w:eastAsia="zh-CN"/>
        </w:rPr>
        <w:t xml:space="preserve"> of</w:t>
      </w:r>
      <w:r>
        <w:rPr>
          <w:b/>
          <w:bCs/>
          <w:sz w:val="21"/>
          <w:szCs w:val="21"/>
        </w:rPr>
        <w:t xml:space="preserve"> </w:t>
      </w:r>
      <w:r>
        <w:rPr>
          <w:rFonts w:hint="eastAsia"/>
          <w:b/>
          <w:bCs/>
          <w:sz w:val="21"/>
          <w:szCs w:val="21"/>
          <w:lang w:val="en-US" w:eastAsia="zh-CN"/>
        </w:rPr>
        <w:t>SIB19 idle/inactive UE shall perform neighboring cell measurements on PCIs indicated by SIB3/4 of the same frequency.</w:t>
      </w:r>
    </w:p>
    <w:p>
      <w:pPr>
        <w:keepNext w:val="0"/>
        <w:keepLines w:val="0"/>
        <w:pageBreakBefore w:val="0"/>
        <w:widowControl/>
        <w:numPr>
          <w:ilvl w:val="0"/>
          <w:numId w:val="0"/>
        </w:numPr>
        <w:kinsoku/>
        <w:wordWrap/>
        <w:overflowPunct w:val="0"/>
        <w:topLinePunct w:val="0"/>
        <w:autoSpaceDE w:val="0"/>
        <w:autoSpaceDN w:val="0"/>
        <w:bidi w:val="0"/>
        <w:adjustRightInd w:val="0"/>
        <w:snapToGrid/>
        <w:ind w:leftChars="0"/>
        <w:textAlignment w:val="auto"/>
        <w:rPr>
          <w:rFonts w:hint="default"/>
          <w:sz w:val="21"/>
          <w:szCs w:val="21"/>
          <w:lang w:val="en-US" w:eastAsia="zh-CN"/>
        </w:rPr>
      </w:pPr>
      <w:r>
        <w:rPr>
          <w:rFonts w:hint="eastAsia"/>
          <w:sz w:val="21"/>
          <w:szCs w:val="21"/>
          <w:lang w:val="en-US" w:eastAsia="zh-CN"/>
        </w:rPr>
        <w:t>For proposal 1, the situation falls into the category that cell is indicated in SIB3/4 but not in SIB19, therefore updates to stage 2 is needed.</w:t>
      </w:r>
    </w:p>
    <w:p>
      <w:pPr>
        <w:keepNext w:val="0"/>
        <w:keepLines w:val="0"/>
        <w:pageBreakBefore w:val="0"/>
        <w:widowControl/>
        <w:numPr>
          <w:ilvl w:val="0"/>
          <w:numId w:val="6"/>
        </w:numPr>
        <w:kinsoku/>
        <w:wordWrap/>
        <w:overflowPunct w:val="0"/>
        <w:topLinePunct w:val="0"/>
        <w:autoSpaceDE w:val="0"/>
        <w:autoSpaceDN w:val="0"/>
        <w:bidi w:val="0"/>
        <w:adjustRightInd w:val="0"/>
        <w:snapToGrid/>
        <w:ind w:left="420" w:leftChars="0" w:hanging="420" w:firstLineChars="0"/>
        <w:textAlignment w:val="auto"/>
        <w:rPr>
          <w:rFonts w:hint="default"/>
          <w:sz w:val="21"/>
          <w:szCs w:val="21"/>
          <w:lang w:val="en-US" w:eastAsia="zh-CN"/>
        </w:rPr>
      </w:pPr>
      <w:r>
        <w:rPr>
          <w:rFonts w:hint="eastAsia"/>
          <w:sz w:val="21"/>
          <w:szCs w:val="21"/>
          <w:lang w:val="en-US" w:eastAsia="zh-CN"/>
        </w:rPr>
        <w:t xml:space="preserve">Case 2: When PCIs are present in </w:t>
      </w:r>
      <w:r>
        <w:rPr>
          <w:bCs/>
          <w:sz w:val="21"/>
          <w:szCs w:val="21"/>
        </w:rPr>
        <w:t xml:space="preserve">NTN-NeighCellConfig </w:t>
      </w:r>
      <w:r>
        <w:rPr>
          <w:rFonts w:hint="eastAsia"/>
          <w:sz w:val="21"/>
          <w:szCs w:val="21"/>
          <w:lang w:val="en-US" w:eastAsia="zh-CN"/>
        </w:rPr>
        <w:t>SIB19</w:t>
      </w:r>
    </w:p>
    <w:p>
      <w:pPr>
        <w:pStyle w:val="282"/>
        <w:numPr>
          <w:ilvl w:val="0"/>
          <w:numId w:val="7"/>
        </w:numPr>
        <w:adjustRightInd w:val="0"/>
        <w:snapToGrid w:val="0"/>
        <w:spacing w:after="156" w:afterLines="50" w:line="288" w:lineRule="auto"/>
        <w:ind w:left="840" w:leftChars="0" w:hanging="420" w:firstLineChars="0"/>
        <w:rPr>
          <w:bCs/>
          <w:sz w:val="21"/>
          <w:szCs w:val="21"/>
        </w:rPr>
      </w:pPr>
      <w:r>
        <w:rPr>
          <w:bCs/>
          <w:sz w:val="21"/>
          <w:szCs w:val="21"/>
        </w:rPr>
        <w:t xml:space="preserve">Case </w:t>
      </w:r>
      <w:r>
        <w:rPr>
          <w:rFonts w:hint="eastAsia"/>
          <w:bCs/>
          <w:sz w:val="21"/>
          <w:szCs w:val="21"/>
          <w:lang w:val="en-US" w:eastAsia="zh-CN"/>
        </w:rPr>
        <w:t>2-</w:t>
      </w:r>
      <w:r>
        <w:rPr>
          <w:bCs/>
          <w:sz w:val="21"/>
          <w:szCs w:val="21"/>
        </w:rPr>
        <w:t xml:space="preserve">1: A detected PCI is in both the PCI field of NTN-NeighCellConfig of SIB19 and the PCI list of </w:t>
      </w:r>
      <w:r>
        <w:rPr>
          <w:rFonts w:hint="eastAsia"/>
          <w:bCs/>
          <w:sz w:val="21"/>
          <w:szCs w:val="21"/>
          <w:lang w:val="en-US" w:eastAsia="zh-CN"/>
        </w:rPr>
        <w:t>SIB3/</w:t>
      </w:r>
      <w:r>
        <w:rPr>
          <w:bCs/>
          <w:sz w:val="21"/>
          <w:szCs w:val="21"/>
        </w:rPr>
        <w:t xml:space="preserve">4. </w:t>
      </w:r>
    </w:p>
    <w:p>
      <w:pPr>
        <w:pStyle w:val="282"/>
        <w:numPr>
          <w:ilvl w:val="0"/>
          <w:numId w:val="7"/>
        </w:numPr>
        <w:adjustRightInd w:val="0"/>
        <w:snapToGrid w:val="0"/>
        <w:spacing w:after="156" w:afterLines="50" w:line="288" w:lineRule="auto"/>
        <w:ind w:left="840" w:leftChars="0" w:hanging="420" w:firstLineChars="0"/>
        <w:rPr>
          <w:bCs/>
          <w:sz w:val="21"/>
          <w:szCs w:val="21"/>
        </w:rPr>
      </w:pPr>
      <w:r>
        <w:rPr>
          <w:bCs/>
          <w:sz w:val="21"/>
          <w:szCs w:val="21"/>
        </w:rPr>
        <w:t xml:space="preserve">Case </w:t>
      </w:r>
      <w:r>
        <w:rPr>
          <w:rFonts w:hint="eastAsia"/>
          <w:bCs/>
          <w:sz w:val="21"/>
          <w:szCs w:val="21"/>
          <w:lang w:val="en-US" w:eastAsia="zh-CN"/>
        </w:rPr>
        <w:t>2-2</w:t>
      </w:r>
      <w:r>
        <w:rPr>
          <w:bCs/>
          <w:sz w:val="21"/>
          <w:szCs w:val="21"/>
        </w:rPr>
        <w:t>: A detected PCI is in the PCI field of NTN-NeighCellConfig of SIB19 but NOT in the PCI list of SIB</w:t>
      </w:r>
      <w:r>
        <w:rPr>
          <w:rFonts w:hint="eastAsia"/>
          <w:bCs/>
          <w:sz w:val="21"/>
          <w:szCs w:val="21"/>
          <w:lang w:val="en-US" w:eastAsia="zh-CN"/>
        </w:rPr>
        <w:t>3/</w:t>
      </w:r>
      <w:r>
        <w:rPr>
          <w:bCs/>
          <w:sz w:val="21"/>
          <w:szCs w:val="21"/>
        </w:rPr>
        <w:t>4.</w:t>
      </w:r>
    </w:p>
    <w:p>
      <w:pPr>
        <w:pStyle w:val="282"/>
        <w:numPr>
          <w:ilvl w:val="0"/>
          <w:numId w:val="0"/>
        </w:numPr>
        <w:tabs>
          <w:tab w:val="left" w:pos="420"/>
        </w:tabs>
        <w:adjustRightInd w:val="0"/>
        <w:snapToGrid w:val="0"/>
        <w:spacing w:after="156" w:afterLines="50" w:line="288" w:lineRule="auto"/>
        <w:ind w:left="1260" w:leftChars="0"/>
        <w:rPr>
          <w:rFonts w:hint="eastAsia"/>
          <w:bCs/>
          <w:sz w:val="21"/>
          <w:szCs w:val="21"/>
          <w:lang w:val="en-US" w:eastAsia="zh-CN"/>
        </w:rPr>
      </w:pPr>
      <w:r>
        <w:rPr>
          <w:rFonts w:hint="eastAsia"/>
          <w:bCs/>
          <w:sz w:val="21"/>
          <w:szCs w:val="21"/>
          <w:lang w:val="en-US" w:eastAsia="zh-CN"/>
        </w:rPr>
        <w:t>2-2a: SIB3/4 doesn</w:t>
      </w:r>
      <w:r>
        <w:rPr>
          <w:rFonts w:hint="default"/>
          <w:bCs/>
          <w:sz w:val="21"/>
          <w:szCs w:val="21"/>
          <w:lang w:val="en-US" w:eastAsia="zh-CN"/>
        </w:rPr>
        <w:t>’</w:t>
      </w:r>
      <w:r>
        <w:rPr>
          <w:rFonts w:hint="eastAsia"/>
          <w:bCs/>
          <w:sz w:val="21"/>
          <w:szCs w:val="21"/>
          <w:lang w:val="en-US" w:eastAsia="zh-CN"/>
        </w:rPr>
        <w:t>t configure PCI list</w:t>
      </w:r>
    </w:p>
    <w:p>
      <w:pPr>
        <w:pStyle w:val="282"/>
        <w:numPr>
          <w:ilvl w:val="0"/>
          <w:numId w:val="0"/>
        </w:numPr>
        <w:tabs>
          <w:tab w:val="left" w:pos="420"/>
        </w:tabs>
        <w:adjustRightInd w:val="0"/>
        <w:snapToGrid w:val="0"/>
        <w:spacing w:after="156" w:afterLines="50" w:line="288" w:lineRule="auto"/>
        <w:ind w:left="1260" w:leftChars="0"/>
        <w:rPr>
          <w:rFonts w:hint="default"/>
          <w:bCs/>
          <w:sz w:val="21"/>
          <w:szCs w:val="21"/>
          <w:lang w:val="en-US" w:eastAsia="zh-CN"/>
        </w:rPr>
      </w:pPr>
      <w:r>
        <w:rPr>
          <w:rFonts w:hint="eastAsia"/>
          <w:bCs/>
          <w:sz w:val="21"/>
          <w:szCs w:val="21"/>
          <w:lang w:val="en-US" w:eastAsia="zh-CN"/>
        </w:rPr>
        <w:t>2-2b: SIB3/4 with PCIs different from that in SIB19</w:t>
      </w:r>
    </w:p>
    <w:p>
      <w:pPr>
        <w:pStyle w:val="282"/>
        <w:numPr>
          <w:ilvl w:val="0"/>
          <w:numId w:val="7"/>
        </w:numPr>
        <w:adjustRightInd w:val="0"/>
        <w:snapToGrid w:val="0"/>
        <w:spacing w:after="156" w:afterLines="50" w:line="288" w:lineRule="auto"/>
        <w:ind w:left="840" w:leftChars="0" w:hanging="420" w:firstLineChars="0"/>
        <w:rPr>
          <w:bCs/>
          <w:sz w:val="21"/>
          <w:szCs w:val="21"/>
        </w:rPr>
      </w:pPr>
      <w:r>
        <w:rPr>
          <w:bCs/>
          <w:sz w:val="21"/>
          <w:szCs w:val="21"/>
        </w:rPr>
        <w:t xml:space="preserve">Case </w:t>
      </w:r>
      <w:r>
        <w:rPr>
          <w:rFonts w:hint="eastAsia"/>
          <w:bCs/>
          <w:sz w:val="21"/>
          <w:szCs w:val="21"/>
          <w:lang w:val="en-US" w:eastAsia="zh-CN"/>
        </w:rPr>
        <w:t>2-</w:t>
      </w:r>
      <w:r>
        <w:rPr>
          <w:bCs/>
          <w:sz w:val="21"/>
          <w:szCs w:val="21"/>
        </w:rPr>
        <w:t>3: A detected PCI is in the PCI list of SIB</w:t>
      </w:r>
      <w:r>
        <w:rPr>
          <w:rFonts w:hint="eastAsia"/>
          <w:bCs/>
          <w:sz w:val="21"/>
          <w:szCs w:val="21"/>
          <w:lang w:val="en-US" w:eastAsia="zh-CN"/>
        </w:rPr>
        <w:t>3/</w:t>
      </w:r>
      <w:r>
        <w:rPr>
          <w:bCs/>
          <w:sz w:val="21"/>
          <w:szCs w:val="21"/>
        </w:rPr>
        <w:t>4 but NOT in the PCI field of NTN-NeighCellConfig of SIB19.</w:t>
      </w:r>
    </w:p>
    <w:p>
      <w:pPr>
        <w:pStyle w:val="282"/>
        <w:numPr>
          <w:ilvl w:val="0"/>
          <w:numId w:val="7"/>
        </w:numPr>
        <w:adjustRightInd w:val="0"/>
        <w:snapToGrid w:val="0"/>
        <w:spacing w:after="156" w:afterLines="50" w:line="288" w:lineRule="auto"/>
        <w:ind w:left="840" w:leftChars="0" w:hanging="420" w:firstLineChars="0"/>
        <w:rPr>
          <w:bCs/>
          <w:sz w:val="21"/>
          <w:szCs w:val="21"/>
        </w:rPr>
      </w:pPr>
      <w:r>
        <w:rPr>
          <w:bCs/>
          <w:sz w:val="21"/>
          <w:szCs w:val="21"/>
        </w:rPr>
        <w:t xml:space="preserve">Case </w:t>
      </w:r>
      <w:r>
        <w:rPr>
          <w:rFonts w:hint="eastAsia"/>
          <w:bCs/>
          <w:sz w:val="21"/>
          <w:szCs w:val="21"/>
          <w:lang w:val="en-US" w:eastAsia="zh-CN"/>
        </w:rPr>
        <w:t>2</w:t>
      </w:r>
      <w:r>
        <w:rPr>
          <w:bCs/>
          <w:sz w:val="21"/>
          <w:szCs w:val="21"/>
        </w:rPr>
        <w:t>-4: A detected PCI is NEITHER in the PCI list of SIB</w:t>
      </w:r>
      <w:r>
        <w:rPr>
          <w:rFonts w:hint="eastAsia"/>
          <w:bCs/>
          <w:sz w:val="21"/>
          <w:szCs w:val="21"/>
          <w:lang w:val="en-US" w:eastAsia="zh-CN"/>
        </w:rPr>
        <w:t>3/</w:t>
      </w:r>
      <w:r>
        <w:rPr>
          <w:bCs/>
          <w:sz w:val="21"/>
          <w:szCs w:val="21"/>
        </w:rPr>
        <w:t xml:space="preserve">4 NOR in the PCI field of NTN-NeighCellConfig of SIB19. </w:t>
      </w:r>
    </w:p>
    <w:p>
      <w:pPr>
        <w:pStyle w:val="282"/>
        <w:numPr>
          <w:ilvl w:val="0"/>
          <w:numId w:val="0"/>
        </w:numPr>
        <w:adjustRightInd w:val="0"/>
        <w:snapToGrid w:val="0"/>
        <w:spacing w:after="156" w:afterLines="50" w:line="288" w:lineRule="auto"/>
        <w:rPr>
          <w:rFonts w:hint="default"/>
          <w:bCs/>
          <w:sz w:val="21"/>
          <w:szCs w:val="21"/>
          <w:lang w:val="en-US" w:eastAsia="zh-CN"/>
        </w:rPr>
      </w:pPr>
      <w:r>
        <w:rPr>
          <w:rFonts w:hint="eastAsia"/>
          <w:bCs/>
          <w:sz w:val="21"/>
          <w:szCs w:val="21"/>
          <w:lang w:val="en-US" w:eastAsia="zh-CN"/>
        </w:rPr>
        <w:t>For case 2-1, UE will perform neighboring cell measurements as indicated, the behavior is clear and valid. For case 2-3: it cannot guaranteed that the NTN-Config can applied to PCIs indicated in SIB3/4, UE can still tries its best yet the results can not be guaranteed. For case 2-4, both cell-specific parameters for reslection and NTN-Config cannot be guaranteed to be used for the detected PCI, it is unlikely for UE to perform measurements. For case 2-2, there are two sub-cases. For case 2-2a, since SIB3/4 doesn</w:t>
      </w:r>
      <w:r>
        <w:rPr>
          <w:rFonts w:hint="default"/>
          <w:bCs/>
          <w:sz w:val="21"/>
          <w:szCs w:val="21"/>
          <w:lang w:val="en-US" w:eastAsia="zh-CN"/>
        </w:rPr>
        <w:t>’</w:t>
      </w:r>
      <w:r>
        <w:rPr>
          <w:rFonts w:hint="eastAsia"/>
          <w:bCs/>
          <w:sz w:val="21"/>
          <w:szCs w:val="21"/>
          <w:lang w:val="en-US" w:eastAsia="zh-CN"/>
        </w:rPr>
        <w:t xml:space="preserve">t specified additional rules for cell reselection, which implies UE shall try all the PCIs that it can measured. In this subcase, UE shall consider measurement on PCIs indicated in SIB19. For case 2-2b, UE is able to perform neighboring cell measurements, but may not be used it for neighboring cell reselection since no cell specific parameters for cell reslection has been specified. </w:t>
      </w:r>
    </w:p>
    <w:p>
      <w:pPr>
        <w:keepNext w:val="0"/>
        <w:keepLines w:val="0"/>
        <w:pageBreakBefore w:val="0"/>
        <w:widowControl/>
        <w:numPr>
          <w:ilvl w:val="0"/>
          <w:numId w:val="0"/>
        </w:numPr>
        <w:kinsoku/>
        <w:wordWrap/>
        <w:overflowPunct w:val="0"/>
        <w:topLinePunct w:val="0"/>
        <w:autoSpaceDE w:val="0"/>
        <w:autoSpaceDN w:val="0"/>
        <w:bidi w:val="0"/>
        <w:adjustRightInd w:val="0"/>
        <w:snapToGrid/>
        <w:ind w:leftChars="0"/>
        <w:textAlignment w:val="auto"/>
        <w:rPr>
          <w:rFonts w:hint="eastAsia"/>
          <w:b/>
          <w:bCs/>
          <w:sz w:val="21"/>
          <w:szCs w:val="21"/>
          <w:lang w:val="en-US" w:eastAsia="zh-CN"/>
        </w:rPr>
      </w:pPr>
      <w:r>
        <w:rPr>
          <w:rFonts w:hint="eastAsia"/>
          <w:b/>
          <w:bCs/>
          <w:sz w:val="21"/>
          <w:szCs w:val="21"/>
          <w:lang w:val="en-US" w:eastAsia="zh-CN"/>
        </w:rPr>
        <w:t>Observation 11: When PCIs are not configured in SIB3/4, it implies frequency specific priorities are used for cell reslection, UE shall consider all PCIs that it can be able to measure, i.e., PCIs that indicated by SIB19.</w:t>
      </w:r>
    </w:p>
    <w:p>
      <w:pPr>
        <w:pStyle w:val="282"/>
        <w:numPr>
          <w:ilvl w:val="0"/>
          <w:numId w:val="0"/>
        </w:numPr>
        <w:adjustRightInd w:val="0"/>
        <w:snapToGrid w:val="0"/>
        <w:spacing w:after="156" w:afterLines="50" w:line="288" w:lineRule="auto"/>
        <w:rPr>
          <w:rFonts w:hint="eastAsia"/>
          <w:bCs/>
          <w:sz w:val="21"/>
          <w:szCs w:val="21"/>
          <w:lang w:val="en-US" w:eastAsia="zh-CN"/>
        </w:rPr>
      </w:pPr>
      <w:r>
        <w:rPr>
          <w:rFonts w:hint="eastAsia"/>
          <w:bCs/>
          <w:sz w:val="21"/>
          <w:szCs w:val="21"/>
          <w:lang w:val="en-US" w:eastAsia="zh-CN"/>
        </w:rPr>
        <w:t>If no PCIs is configured in SIB3/4, UE uses all possible PCIs detected on the configured frequency, which is legacy behavior. And UE follows SIB19 to perform neighboring cell measurements are also aligned with the intended behavior, no specs update is needed.</w:t>
      </w:r>
    </w:p>
    <w:p>
      <w:pPr>
        <w:keepNext w:val="0"/>
        <w:keepLines w:val="0"/>
        <w:pageBreakBefore w:val="0"/>
        <w:widowControl/>
        <w:numPr>
          <w:ilvl w:val="0"/>
          <w:numId w:val="0"/>
        </w:numPr>
        <w:kinsoku/>
        <w:wordWrap/>
        <w:overflowPunct w:val="0"/>
        <w:topLinePunct w:val="0"/>
        <w:autoSpaceDE w:val="0"/>
        <w:autoSpaceDN w:val="0"/>
        <w:bidi w:val="0"/>
        <w:adjustRightInd w:val="0"/>
        <w:snapToGrid/>
        <w:ind w:leftChars="0"/>
        <w:textAlignment w:val="auto"/>
        <w:rPr>
          <w:rFonts w:hint="eastAsia"/>
          <w:b/>
          <w:bCs/>
          <w:sz w:val="21"/>
          <w:szCs w:val="21"/>
          <w:lang w:val="en-US" w:eastAsia="zh-CN"/>
        </w:rPr>
      </w:pPr>
      <w:r>
        <w:rPr>
          <w:rFonts w:hint="eastAsia"/>
          <w:b/>
          <w:bCs/>
          <w:sz w:val="21"/>
          <w:szCs w:val="21"/>
          <w:lang w:val="en-US" w:eastAsia="zh-CN"/>
        </w:rPr>
        <w:t xml:space="preserve">Proposal 2: When PCIs are not configured in SIB3/4, idle/inactive UE performs neighboring cell measurements on PCIs that is present in SIB19 on the same frequency (No specs impact) </w:t>
      </w:r>
    </w:p>
    <w:p>
      <w:pPr>
        <w:pStyle w:val="282"/>
        <w:numPr>
          <w:ilvl w:val="0"/>
          <w:numId w:val="0"/>
        </w:numPr>
        <w:adjustRightInd w:val="0"/>
        <w:snapToGrid w:val="0"/>
        <w:spacing w:after="156" w:afterLines="50" w:line="288" w:lineRule="auto"/>
        <w:rPr>
          <w:rFonts w:hint="default"/>
          <w:bCs/>
          <w:sz w:val="21"/>
          <w:szCs w:val="21"/>
          <w:lang w:val="en-US" w:eastAsia="zh-CN"/>
        </w:rPr>
      </w:pPr>
    </w:p>
    <w:p>
      <w:pPr>
        <w:tabs>
          <w:tab w:val="right" w:pos="10649"/>
        </w:tabs>
        <w:spacing w:before="44" w:beforeLines="0" w:afterLines="0"/>
        <w:jc w:val="left"/>
        <w:rPr>
          <w:rFonts w:hint="default" w:ascii="Arial" w:hAnsi="Arial" w:cs="Arial"/>
          <w:b/>
          <w:bCs/>
          <w:i/>
          <w:iCs/>
          <w:sz w:val="21"/>
          <w:szCs w:val="21"/>
          <w:highlight w:val="none"/>
          <w:lang w:val="en-US" w:eastAsia="zh-CN"/>
        </w:rPr>
      </w:pPr>
      <w:r>
        <w:rPr>
          <w:rFonts w:hint="default" w:ascii="Arial" w:hAnsi="Arial" w:cs="Arial"/>
          <w:b/>
          <w:bCs/>
          <w:i/>
          <w:iCs/>
          <w:color w:val="auto"/>
          <w:sz w:val="24"/>
          <w:szCs w:val="24"/>
          <w:highlight w:val="none"/>
          <w:u w:val="single"/>
          <w:lang w:val="en-US" w:eastAsia="zh-CN"/>
        </w:rPr>
        <w:t>For connected neighboring cell measurement</w:t>
      </w:r>
    </w:p>
    <w:p>
      <w:pPr>
        <w:pStyle w:val="282"/>
        <w:numPr>
          <w:ilvl w:val="0"/>
          <w:numId w:val="0"/>
        </w:numPr>
        <w:adjustRightInd w:val="0"/>
        <w:snapToGrid w:val="0"/>
        <w:spacing w:after="156" w:afterLines="50" w:line="288" w:lineRule="auto"/>
        <w:rPr>
          <w:rFonts w:hint="default"/>
          <w:bCs/>
          <w:sz w:val="21"/>
          <w:szCs w:val="21"/>
          <w:lang w:val="en-US" w:eastAsia="zh-CN"/>
        </w:rPr>
      </w:pPr>
      <w:r>
        <w:rPr>
          <w:rFonts w:hint="eastAsia"/>
          <w:bCs/>
          <w:sz w:val="21"/>
          <w:szCs w:val="21"/>
          <w:lang w:val="en-US" w:eastAsia="zh-CN"/>
        </w:rPr>
        <w:t xml:space="preserve">For connected mode neighboring cell measurement, the situation might be different from idle/inactive states. According to above, the required information for UE to performs neighboring cell measurement in connected includes DL polarization, validity duration, epochTime of assisting information and ephemeris, where validity duration, epochTime of assisting information and ephemeris is included in SIB19 while DL polarization is included in both MO and SIB19. </w:t>
      </w:r>
    </w:p>
    <w:p>
      <w:pPr>
        <w:keepNext w:val="0"/>
        <w:keepLines w:val="0"/>
        <w:pageBreakBefore w:val="0"/>
        <w:widowControl/>
        <w:numPr>
          <w:ilvl w:val="0"/>
          <w:numId w:val="0"/>
        </w:numPr>
        <w:kinsoku/>
        <w:wordWrap/>
        <w:overflowPunct w:val="0"/>
        <w:topLinePunct w:val="0"/>
        <w:autoSpaceDE w:val="0"/>
        <w:autoSpaceDN w:val="0"/>
        <w:bidi w:val="0"/>
        <w:adjustRightInd w:val="0"/>
        <w:snapToGrid/>
        <w:ind w:leftChars="0"/>
        <w:textAlignment w:val="auto"/>
        <w:rPr>
          <w:rFonts w:hint="eastAsia"/>
          <w:b/>
          <w:bCs/>
          <w:sz w:val="21"/>
          <w:szCs w:val="21"/>
          <w:lang w:val="en-US" w:eastAsia="zh-CN"/>
        </w:rPr>
      </w:pPr>
      <w:r>
        <w:rPr>
          <w:rFonts w:hint="eastAsia"/>
          <w:b/>
          <w:bCs/>
          <w:sz w:val="21"/>
          <w:szCs w:val="21"/>
          <w:lang w:val="en-US" w:eastAsia="zh-CN"/>
        </w:rPr>
        <w:t>Observation 12: validity duration, epochTime of assisting information and ephemeris used for connected mode neighboring cell measurement is included in SIB19 while DL polarization is included in both MO and SIB19.</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line="240" w:lineRule="auto"/>
        <w:ind w:leftChars="0"/>
        <w:textAlignment w:val="auto"/>
        <w:rPr>
          <w:rFonts w:hint="eastAsia"/>
          <w:vertAlign w:val="baseline"/>
          <w:lang w:val="en-US" w:eastAsia="zh-CN"/>
        </w:rPr>
      </w:pPr>
      <w:r>
        <w:rPr>
          <w:rFonts w:hint="eastAsia"/>
          <w:bCs/>
          <w:sz w:val="21"/>
          <w:szCs w:val="21"/>
          <w:lang w:val="en-US" w:eastAsia="zh-CN"/>
        </w:rPr>
        <w:t xml:space="preserve">One of the reasons to include the DL plolarization information in SIB19 is due to alignment to RAN1 agreements, another is because majority in RAN2 assumes that system information configuration is mainly for idle/inactive mode and cannot be trusted, therefore prefer to include the assisting information explicitly configured in MO. </w:t>
      </w:r>
      <w:r>
        <w:rPr>
          <w:rFonts w:hint="eastAsia"/>
          <w:vertAlign w:val="baseline"/>
          <w:lang w:val="en-US" w:eastAsia="zh-CN"/>
        </w:rPr>
        <w:t>Since DL polarization information is duplicated in two places, to avoid conflicts in measurement below options can be considered:</w:t>
      </w:r>
    </w:p>
    <w:p>
      <w:pPr>
        <w:keepNext w:val="0"/>
        <w:keepLines w:val="0"/>
        <w:pageBreakBefore w:val="0"/>
        <w:widowControl/>
        <w:numPr>
          <w:ilvl w:val="0"/>
          <w:numId w:val="8"/>
        </w:numPr>
        <w:kinsoku/>
        <w:wordWrap/>
        <w:overflowPunct w:val="0"/>
        <w:topLinePunct w:val="0"/>
        <w:autoSpaceDE w:val="0"/>
        <w:autoSpaceDN w:val="0"/>
        <w:bidi w:val="0"/>
        <w:adjustRightInd w:val="0"/>
        <w:snapToGrid/>
        <w:spacing w:after="0" w:line="240" w:lineRule="auto"/>
        <w:ind w:left="420" w:leftChars="0" w:hanging="420" w:firstLineChars="0"/>
        <w:textAlignment w:val="auto"/>
        <w:rPr>
          <w:rFonts w:hint="default"/>
          <w:vertAlign w:val="baseline"/>
          <w:lang w:val="en-US" w:eastAsia="zh-CN"/>
        </w:rPr>
      </w:pPr>
      <w:r>
        <w:rPr>
          <w:rFonts w:hint="eastAsia"/>
          <w:vertAlign w:val="baseline"/>
          <w:lang w:val="en-US" w:eastAsia="zh-CN"/>
        </w:rPr>
        <w:t xml:space="preserve"> Opt1: UE trusts that NW will guarantee that the DL polarization information provided in MO will not be conflicted to the ones associated to the same satellite in SIB19;</w:t>
      </w:r>
    </w:p>
    <w:p>
      <w:pPr>
        <w:keepNext w:val="0"/>
        <w:keepLines w:val="0"/>
        <w:pageBreakBefore w:val="0"/>
        <w:widowControl/>
        <w:numPr>
          <w:ilvl w:val="0"/>
          <w:numId w:val="8"/>
        </w:numPr>
        <w:kinsoku/>
        <w:wordWrap/>
        <w:overflowPunct w:val="0"/>
        <w:topLinePunct w:val="0"/>
        <w:autoSpaceDE w:val="0"/>
        <w:autoSpaceDN w:val="0"/>
        <w:bidi w:val="0"/>
        <w:adjustRightInd w:val="0"/>
        <w:snapToGrid/>
        <w:spacing w:after="0" w:line="240" w:lineRule="auto"/>
        <w:ind w:left="420" w:leftChars="0" w:hanging="420" w:firstLineChars="0"/>
        <w:textAlignment w:val="auto"/>
        <w:rPr>
          <w:rFonts w:hint="default"/>
          <w:vertAlign w:val="baseline"/>
          <w:lang w:val="en-US" w:eastAsia="zh-CN"/>
        </w:rPr>
      </w:pPr>
      <w:r>
        <w:rPr>
          <w:rFonts w:hint="eastAsia"/>
          <w:vertAlign w:val="baseline"/>
          <w:lang w:val="en-US" w:eastAsia="zh-CN"/>
        </w:rPr>
        <w:t xml:space="preserve"> Opt2: UE always follows the measurement MO configuration if there are contradicts in DL polarization configuration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line="240" w:lineRule="auto"/>
        <w:ind w:leftChars="0"/>
        <w:textAlignment w:val="auto"/>
        <w:rPr>
          <w:rFonts w:hint="default"/>
          <w:lang w:val="en-US" w:eastAsia="zh-CN"/>
        </w:rPr>
      </w:pPr>
      <w:r>
        <w:rPr>
          <w:rFonts w:hint="eastAsia"/>
          <w:vertAlign w:val="baseline"/>
          <w:lang w:val="en-US" w:eastAsia="zh-CN"/>
        </w:rPr>
        <w:t xml:space="preserve">Option1 will out additional restrictions on NW implementation. </w:t>
      </w:r>
      <w:r>
        <w:rPr>
          <w:rFonts w:hint="eastAsia"/>
          <w:lang w:val="en-US" w:eastAsia="zh-CN"/>
        </w:rPr>
        <w:t xml:space="preserve">Option 2 is more aligned to existing UE behavior (i.e., UE always follows MO configuration to perform measurement in connected mode ). But both options will require UE to obtain the needed information for neighboring cell measurements both from SIB 19 and measurement objectives, which may not be efficient. </w:t>
      </w:r>
    </w:p>
    <w:p>
      <w:pPr>
        <w:keepNext w:val="0"/>
        <w:keepLines w:val="0"/>
        <w:pageBreakBefore w:val="0"/>
        <w:widowControl/>
        <w:numPr>
          <w:ilvl w:val="0"/>
          <w:numId w:val="0"/>
        </w:numPr>
        <w:kinsoku/>
        <w:wordWrap/>
        <w:overflowPunct w:val="0"/>
        <w:topLinePunct w:val="0"/>
        <w:autoSpaceDE w:val="0"/>
        <w:autoSpaceDN w:val="0"/>
        <w:bidi w:val="0"/>
        <w:adjustRightInd w:val="0"/>
        <w:snapToGrid/>
        <w:ind w:leftChars="0"/>
        <w:textAlignment w:val="auto"/>
        <w:rPr>
          <w:rFonts w:hint="eastAsia"/>
          <w:b/>
          <w:bCs/>
          <w:sz w:val="21"/>
          <w:szCs w:val="21"/>
          <w:lang w:val="en-US" w:eastAsia="zh-CN"/>
        </w:rPr>
      </w:pPr>
      <w:r>
        <w:rPr>
          <w:rFonts w:hint="eastAsia"/>
          <w:b/>
          <w:bCs/>
          <w:sz w:val="21"/>
          <w:szCs w:val="21"/>
          <w:lang w:val="en-US" w:eastAsia="zh-CN"/>
        </w:rPr>
        <w:t xml:space="preserve">Observation 13: In NTN, UE will need to obtain information from both SIB19 and MO to perform neighboring cell measurements, which may not be efficient. </w:t>
      </w:r>
    </w:p>
    <w:p>
      <w:pPr>
        <w:keepNext w:val="0"/>
        <w:keepLines w:val="0"/>
        <w:pageBreakBefore w:val="0"/>
        <w:widowControl/>
        <w:numPr>
          <w:ilvl w:val="0"/>
          <w:numId w:val="0"/>
        </w:numPr>
        <w:kinsoku/>
        <w:wordWrap/>
        <w:overflowPunct w:val="0"/>
        <w:topLinePunct w:val="0"/>
        <w:autoSpaceDE w:val="0"/>
        <w:autoSpaceDN w:val="0"/>
        <w:bidi w:val="0"/>
        <w:adjustRightInd w:val="0"/>
        <w:snapToGrid/>
        <w:ind w:leftChars="0"/>
        <w:textAlignment w:val="auto"/>
        <w:rPr>
          <w:rFonts w:hint="default"/>
          <w:lang w:val="en-US" w:eastAsia="zh-CN"/>
        </w:rPr>
      </w:pPr>
      <w:r>
        <w:rPr>
          <w:rFonts w:hint="eastAsia"/>
          <w:b w:val="0"/>
          <w:bCs w:val="0"/>
          <w:sz w:val="21"/>
          <w:szCs w:val="21"/>
          <w:lang w:val="en-US" w:eastAsia="zh-CN"/>
        </w:rPr>
        <w:t>To address this issue and to follow the same principle for connected mode measurement (i.e., UE always follow MO configuration), it is proposed to include all assisting information for connected neighboring cell measurements in MO, and UE always follow MO configuration to perform connected mode neighboring cell measurements.</w:t>
      </w:r>
    </w:p>
    <w:p>
      <w:pPr>
        <w:keepNext w:val="0"/>
        <w:keepLines w:val="0"/>
        <w:pageBreakBefore w:val="0"/>
        <w:widowControl/>
        <w:numPr>
          <w:ilvl w:val="0"/>
          <w:numId w:val="0"/>
        </w:numPr>
        <w:kinsoku/>
        <w:wordWrap/>
        <w:overflowPunct w:val="0"/>
        <w:topLinePunct w:val="0"/>
        <w:autoSpaceDE w:val="0"/>
        <w:autoSpaceDN w:val="0"/>
        <w:bidi w:val="0"/>
        <w:adjustRightInd w:val="0"/>
        <w:snapToGrid/>
        <w:ind w:leftChars="0"/>
        <w:textAlignment w:val="auto"/>
        <w:rPr>
          <w:rFonts w:hint="default"/>
          <w:b/>
          <w:bCs/>
          <w:sz w:val="21"/>
          <w:szCs w:val="21"/>
          <w:lang w:val="en-US" w:eastAsia="zh-CN"/>
        </w:rPr>
      </w:pPr>
      <w:r>
        <w:rPr>
          <w:rFonts w:hint="eastAsia"/>
          <w:b/>
          <w:bCs/>
          <w:sz w:val="21"/>
          <w:szCs w:val="21"/>
          <w:lang w:val="en-US" w:eastAsia="zh-CN"/>
        </w:rPr>
        <w:t>Proposal 3：Include below assisting information in measurement configuration, and connected UE follows MO configuration to perform neighboring cell measurements</w:t>
      </w:r>
    </w:p>
    <w:p>
      <w:pPr>
        <w:keepNext w:val="0"/>
        <w:keepLines w:val="0"/>
        <w:pageBreakBefore w:val="0"/>
        <w:widowControl/>
        <w:numPr>
          <w:ilvl w:val="0"/>
          <w:numId w:val="9"/>
        </w:numPr>
        <w:kinsoku/>
        <w:wordWrap/>
        <w:overflowPunct w:val="0"/>
        <w:topLinePunct w:val="0"/>
        <w:autoSpaceDE w:val="0"/>
        <w:autoSpaceDN w:val="0"/>
        <w:bidi w:val="0"/>
        <w:adjustRightInd w:val="0"/>
        <w:snapToGrid/>
        <w:spacing w:after="0" w:line="240" w:lineRule="auto"/>
        <w:ind w:left="420" w:leftChars="0" w:hanging="420" w:firstLineChars="0"/>
        <w:textAlignment w:val="auto"/>
        <w:rPr>
          <w:rFonts w:hint="default"/>
          <w:b/>
          <w:bCs/>
          <w:vertAlign w:val="baseline"/>
          <w:lang w:val="en-US" w:eastAsia="zh-CN"/>
        </w:rPr>
      </w:pPr>
      <w:r>
        <w:rPr>
          <w:rFonts w:hint="eastAsia"/>
          <w:b/>
          <w:bCs/>
          <w:vertAlign w:val="baseline"/>
          <w:lang w:val="en-US" w:eastAsia="zh-CN"/>
        </w:rPr>
        <w:t xml:space="preserve"> Neighboring cell ephemeris</w:t>
      </w:r>
    </w:p>
    <w:p>
      <w:pPr>
        <w:keepNext w:val="0"/>
        <w:keepLines w:val="0"/>
        <w:pageBreakBefore w:val="0"/>
        <w:widowControl/>
        <w:numPr>
          <w:ilvl w:val="0"/>
          <w:numId w:val="9"/>
        </w:numPr>
        <w:kinsoku/>
        <w:wordWrap/>
        <w:overflowPunct w:val="0"/>
        <w:topLinePunct w:val="0"/>
        <w:autoSpaceDE w:val="0"/>
        <w:autoSpaceDN w:val="0"/>
        <w:bidi w:val="0"/>
        <w:adjustRightInd w:val="0"/>
        <w:snapToGrid/>
        <w:spacing w:after="0" w:line="240" w:lineRule="auto"/>
        <w:ind w:left="420" w:leftChars="0" w:hanging="420" w:firstLineChars="0"/>
        <w:textAlignment w:val="auto"/>
        <w:rPr>
          <w:rFonts w:hint="default"/>
          <w:b/>
          <w:bCs/>
          <w:vertAlign w:val="baseline"/>
          <w:lang w:val="en-US" w:eastAsia="zh-CN"/>
        </w:rPr>
      </w:pPr>
      <w:r>
        <w:rPr>
          <w:rFonts w:hint="eastAsia"/>
          <w:b/>
          <w:bCs/>
          <w:vertAlign w:val="baseline"/>
          <w:lang w:val="en-US" w:eastAsia="zh-CN"/>
        </w:rPr>
        <w:t xml:space="preserve"> Epoch time of associated assistance information</w:t>
      </w:r>
    </w:p>
    <w:p>
      <w:pPr>
        <w:keepNext w:val="0"/>
        <w:keepLines w:val="0"/>
        <w:pageBreakBefore w:val="0"/>
        <w:widowControl/>
        <w:numPr>
          <w:ilvl w:val="0"/>
          <w:numId w:val="9"/>
        </w:numPr>
        <w:kinsoku/>
        <w:wordWrap/>
        <w:overflowPunct w:val="0"/>
        <w:topLinePunct w:val="0"/>
        <w:autoSpaceDE w:val="0"/>
        <w:autoSpaceDN w:val="0"/>
        <w:bidi w:val="0"/>
        <w:adjustRightInd w:val="0"/>
        <w:snapToGrid/>
        <w:spacing w:after="0" w:line="240" w:lineRule="auto"/>
        <w:ind w:left="420" w:leftChars="0" w:hanging="420" w:firstLineChars="0"/>
        <w:textAlignment w:val="auto"/>
        <w:rPr>
          <w:rFonts w:hint="default"/>
          <w:lang w:val="en-US" w:eastAsia="zh-CN"/>
        </w:rPr>
      </w:pPr>
      <w:r>
        <w:rPr>
          <w:rFonts w:hint="eastAsia"/>
          <w:b/>
          <w:bCs/>
          <w:vertAlign w:val="baseline"/>
          <w:lang w:val="en-US" w:eastAsia="zh-CN"/>
        </w:rPr>
        <w:t xml:space="preserve"> Validty timer duration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line="240" w:lineRule="auto"/>
        <w:ind w:leftChars="0"/>
        <w:textAlignment w:val="auto"/>
        <w:rPr>
          <w:rFonts w:hint="default"/>
          <w:lang w:val="en-US" w:eastAsia="zh-CN"/>
        </w:rPr>
      </w:pPr>
    </w:p>
    <w:p>
      <w:pPr>
        <w:rPr>
          <w:rFonts w:hint="eastAsia"/>
          <w:lang w:val="en-US" w:eastAsia="zh-CN"/>
        </w:rPr>
      </w:pPr>
      <w:r>
        <w:rPr>
          <w:rFonts w:hint="eastAsia"/>
          <w:lang w:val="en-US" w:eastAsia="zh-CN"/>
        </w:rPr>
        <w:t xml:space="preserve">Corresponding CR to 38300 and 38331 to address above proposals are proposed in </w:t>
      </w:r>
      <w:r>
        <w:rPr>
          <w:rFonts w:hint="eastAsia"/>
          <w:color w:val="000000"/>
          <w:sz w:val="22"/>
          <w:szCs w:val="22"/>
          <w:lang w:val="en-US" w:eastAsia="zh-CN"/>
        </w:rPr>
        <w:t>R2-2301138</w:t>
      </w:r>
      <w:r>
        <w:rPr>
          <w:rFonts w:hint="eastAsia"/>
          <w:lang w:val="en-US" w:eastAsia="zh-CN"/>
        </w:rPr>
        <w:t xml:space="preserve">[6] and </w:t>
      </w:r>
      <w:r>
        <w:rPr>
          <w:rFonts w:hint="eastAsia"/>
          <w:color w:val="000000"/>
          <w:sz w:val="22"/>
          <w:szCs w:val="22"/>
          <w:lang w:val="en-US" w:eastAsia="zh-CN"/>
        </w:rPr>
        <w:t>R2-2301139</w:t>
      </w:r>
      <w:r>
        <w:rPr>
          <w:rFonts w:hint="eastAsia"/>
          <w:lang w:val="en-US" w:eastAsia="zh-CN"/>
        </w:rPr>
        <w:t xml:space="preserve"> [7]. It is proposed RAN2 to discuss and agree on the CR provided.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line="240" w:lineRule="auto"/>
        <w:ind w:leftChars="0"/>
        <w:textAlignment w:val="auto"/>
        <w:rPr>
          <w:rFonts w:hint="default"/>
          <w:b/>
          <w:bCs/>
          <w:vertAlign w:val="baseline"/>
          <w:lang w:val="en-US" w:eastAsia="zh-CN"/>
        </w:rPr>
      </w:pPr>
      <w:r>
        <w:rPr>
          <w:rFonts w:hint="eastAsia"/>
          <w:b/>
          <w:bCs/>
          <w:vertAlign w:val="baseline"/>
          <w:lang w:val="en-US" w:eastAsia="zh-CN"/>
        </w:rPr>
        <w:t>Proposal 4: RAN2 to discuss and agree on the CR provided in R2-2301138 and R2-2301139.</w:t>
      </w:r>
    </w:p>
    <w:bookmarkEnd w:id="2"/>
    <w:bookmarkEnd w:id="3"/>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rFonts w:ascii="Arial" w:hAnsi="Arial" w:cs="Arial"/>
          <w:bCs/>
          <w:kern w:val="0"/>
          <w:sz w:val="20"/>
          <w:szCs w:val="20"/>
        </w:rPr>
      </w:pPr>
      <w:r>
        <w:rPr>
          <w:rFonts w:ascii="Arial" w:hAnsi="Arial" w:cs="Arial"/>
          <w:bCs/>
          <w:kern w:val="0"/>
          <w:sz w:val="20"/>
          <w:szCs w:val="20"/>
        </w:rPr>
        <w:t xml:space="preserve">Based on the analysis in previous sections, the following </w:t>
      </w:r>
      <w:r>
        <w:rPr>
          <w:rFonts w:hint="eastAsia" w:ascii="Arial" w:hAnsi="Arial" w:cs="Arial"/>
          <w:bCs/>
          <w:kern w:val="0"/>
          <w:sz w:val="20"/>
          <w:szCs w:val="20"/>
        </w:rPr>
        <w:t xml:space="preserve">observations and </w:t>
      </w:r>
      <w:r>
        <w:rPr>
          <w:rFonts w:ascii="Arial" w:hAnsi="Arial" w:cs="Arial"/>
          <w:bCs/>
          <w:kern w:val="0"/>
          <w:sz w:val="20"/>
          <w:szCs w:val="20"/>
        </w:rPr>
        <w:t xml:space="preserve">proposals are given: </w:t>
      </w:r>
    </w:p>
    <w:p>
      <w:pPr>
        <w:rPr>
          <w:rFonts w:hint="eastAsia"/>
          <w:b w:val="0"/>
          <w:bCs w:val="0"/>
          <w:i/>
          <w:iCs/>
          <w:lang w:val="en-US" w:eastAsia="zh-CN"/>
        </w:rPr>
      </w:pPr>
      <w:r>
        <w:rPr>
          <w:rFonts w:hint="eastAsia"/>
          <w:b w:val="0"/>
          <w:bCs w:val="0"/>
          <w:i/>
          <w:iCs/>
          <w:lang w:val="en-US" w:eastAsia="zh-CN"/>
        </w:rPr>
        <w:t>Observation 1: UE implementation is used for handling the issues when some cells are presented in SIB19 but not in Measurement configuration (i.e., in measObjectNR) or not in SIB4, which is compromise due to limit time for companies to check the required information for performing measurements.</w:t>
      </w:r>
    </w:p>
    <w:p>
      <w:pPr>
        <w:rPr>
          <w:rFonts w:hint="default"/>
          <w:b w:val="0"/>
          <w:bCs w:val="0"/>
          <w:i/>
          <w:iCs/>
          <w:lang w:val="en-US" w:eastAsia="zh-CN"/>
        </w:rPr>
      </w:pPr>
      <w:r>
        <w:rPr>
          <w:rFonts w:hint="eastAsia"/>
          <w:b w:val="0"/>
          <w:bCs w:val="0"/>
          <w:i/>
          <w:iCs/>
          <w:lang w:val="en-US" w:eastAsia="zh-CN"/>
        </w:rPr>
        <w:t>Observation 2: RAN2 can further discuss if UE implementation is good enough after clarifying the required information for NTN neighboring cell measurements.</w:t>
      </w:r>
    </w:p>
    <w:p>
      <w:pPr>
        <w:numPr>
          <w:ilvl w:val="0"/>
          <w:numId w:val="0"/>
        </w:numPr>
        <w:ind w:leftChars="0"/>
        <w:rPr>
          <w:rFonts w:hint="default"/>
          <w:b w:val="0"/>
          <w:bCs w:val="0"/>
          <w:i/>
          <w:iCs/>
          <w:lang w:val="en-US" w:eastAsia="zh-CN"/>
        </w:rPr>
      </w:pPr>
      <w:r>
        <w:rPr>
          <w:rFonts w:hint="eastAsia"/>
          <w:b w:val="0"/>
          <w:bCs w:val="0"/>
          <w:i/>
          <w:iCs/>
          <w:lang w:val="en-US" w:eastAsia="zh-CN"/>
        </w:rPr>
        <w:t>Observation 3: For all RRC states, RAN2 consider SMTCs, ephemeris, epoch time and DL polarization is needed for measurements</w:t>
      </w:r>
    </w:p>
    <w:p>
      <w:pPr>
        <w:numPr>
          <w:ilvl w:val="0"/>
          <w:numId w:val="0"/>
        </w:numPr>
        <w:ind w:leftChars="0"/>
        <w:rPr>
          <w:rFonts w:hint="eastAsia"/>
          <w:b w:val="0"/>
          <w:bCs w:val="0"/>
          <w:i/>
          <w:iCs/>
          <w:lang w:val="en-US" w:eastAsia="zh-CN"/>
        </w:rPr>
      </w:pPr>
      <w:r>
        <w:rPr>
          <w:rFonts w:hint="eastAsia"/>
          <w:b w:val="0"/>
          <w:bCs w:val="0"/>
          <w:i/>
          <w:iCs/>
          <w:lang w:val="en-US" w:eastAsia="zh-CN"/>
        </w:rPr>
        <w:t>Observation 4: For all RRC states, RAN1 concludes that DL polarization, validity time as well as epochTime of assistance information is needed for neighboring cell measurements with further RAN1 agreements that DL polarization is provided in RRM measurement configuration for non-serving cells as well as in Handover command for target cell.</w:t>
      </w:r>
    </w:p>
    <w:p>
      <w:pPr>
        <w:numPr>
          <w:ilvl w:val="0"/>
          <w:numId w:val="0"/>
        </w:numPr>
        <w:ind w:leftChars="0"/>
        <w:rPr>
          <w:rFonts w:hint="default"/>
          <w:b w:val="0"/>
          <w:bCs w:val="0"/>
          <w:i/>
          <w:iCs/>
          <w:lang w:val="en-US" w:eastAsia="zh-CN"/>
        </w:rPr>
      </w:pPr>
      <w:r>
        <w:rPr>
          <w:rFonts w:hint="eastAsia"/>
          <w:b w:val="0"/>
          <w:bCs w:val="0"/>
          <w:i/>
          <w:iCs/>
          <w:lang w:val="en-US" w:eastAsia="zh-CN"/>
        </w:rPr>
        <w:t>Observation 5: RAN2 has agreed that UE in idle/inactive will based on neighboring cell ephemeris and UE location to autonomous adjust the SMTC while for connected mode UEs NW will configure UE SMTC for measurements.</w:t>
      </w:r>
    </w:p>
    <w:p>
      <w:pPr>
        <w:numPr>
          <w:ilvl w:val="0"/>
          <w:numId w:val="0"/>
        </w:numPr>
        <w:ind w:leftChars="0"/>
        <w:rPr>
          <w:rFonts w:hint="default"/>
          <w:b w:val="0"/>
          <w:bCs w:val="0"/>
          <w:i/>
          <w:iCs/>
          <w:lang w:val="en-US" w:eastAsia="zh-CN"/>
        </w:rPr>
      </w:pPr>
      <w:r>
        <w:rPr>
          <w:rFonts w:hint="eastAsia"/>
          <w:b w:val="0"/>
          <w:bCs w:val="0"/>
          <w:i/>
          <w:iCs/>
          <w:lang w:val="en-US" w:eastAsia="zh-CN"/>
        </w:rPr>
        <w:t>Observation 6: RAN2 further agreed that common TA and K-mac of neighboring cell is needed for UE to adjust SMTC in idle/inactive connected, which is necessary for reliable neighboring cell measurements.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line="240" w:lineRule="auto"/>
        <w:ind w:leftChars="0"/>
        <w:textAlignment w:val="auto"/>
        <w:rPr>
          <w:rFonts w:hint="eastAsia"/>
          <w:b w:val="0"/>
          <w:bCs w:val="0"/>
          <w:i/>
          <w:iCs/>
          <w:highlight w:val="none"/>
          <w:lang w:val="en-US" w:eastAsia="zh-CN"/>
        </w:rPr>
      </w:pPr>
      <w:r>
        <w:rPr>
          <w:rFonts w:hint="eastAsia"/>
          <w:b w:val="0"/>
          <w:bCs w:val="0"/>
          <w:i/>
          <w:iCs/>
          <w:highlight w:val="none"/>
          <w:lang w:val="en-US" w:eastAsia="zh-CN"/>
        </w:rPr>
        <w:t>Observation 7: Below parameters are necessary for neighboring cell measurements when UE is in idle/inactive mode:</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exact"/>
        <w:ind w:left="840" w:leftChars="0" w:hanging="420" w:firstLineChars="0"/>
        <w:textAlignment w:val="auto"/>
        <w:rPr>
          <w:rFonts w:hint="default"/>
          <w:b w:val="0"/>
          <w:bCs w:val="0"/>
          <w:i/>
          <w:iCs/>
          <w:highlight w:val="none"/>
          <w:lang w:val="en-US" w:eastAsia="zh-CN"/>
        </w:rPr>
      </w:pPr>
      <w:r>
        <w:rPr>
          <w:rFonts w:hint="eastAsia"/>
          <w:b w:val="0"/>
          <w:bCs w:val="0"/>
          <w:i/>
          <w:iCs/>
          <w:highlight w:val="none"/>
          <w:lang w:val="en-US" w:eastAsia="zh-CN"/>
        </w:rPr>
        <w:t>Ephemeris;</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exact"/>
        <w:ind w:left="840" w:leftChars="0" w:hanging="420" w:firstLineChars="0"/>
        <w:textAlignment w:val="auto"/>
        <w:rPr>
          <w:rFonts w:hint="default"/>
          <w:b w:val="0"/>
          <w:bCs w:val="0"/>
          <w:i/>
          <w:iCs/>
          <w:highlight w:val="none"/>
          <w:lang w:val="en-US" w:eastAsia="zh-CN"/>
        </w:rPr>
      </w:pPr>
      <w:r>
        <w:rPr>
          <w:rFonts w:hint="eastAsia"/>
          <w:b w:val="0"/>
          <w:bCs w:val="0"/>
          <w:i/>
          <w:iCs/>
          <w:highlight w:val="none"/>
          <w:lang w:val="en-US" w:eastAsia="zh-CN"/>
        </w:rPr>
        <w:t>Common TA ;</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exact"/>
        <w:ind w:left="840" w:leftChars="0" w:hanging="420" w:firstLineChars="0"/>
        <w:textAlignment w:val="auto"/>
        <w:rPr>
          <w:rFonts w:hint="eastAsia"/>
          <w:b w:val="0"/>
          <w:bCs w:val="0"/>
          <w:i/>
          <w:iCs/>
          <w:highlight w:val="none"/>
          <w:lang w:val="en-US" w:eastAsia="zh-CN"/>
        </w:rPr>
      </w:pPr>
      <w:r>
        <w:rPr>
          <w:rFonts w:hint="eastAsia"/>
          <w:b w:val="0"/>
          <w:bCs w:val="0"/>
          <w:i/>
          <w:iCs/>
          <w:highlight w:val="none"/>
          <w:lang w:val="en-US" w:eastAsia="zh-CN"/>
        </w:rPr>
        <w:t>Kmac;</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exact"/>
        <w:ind w:left="840" w:leftChars="0" w:hanging="420" w:firstLineChars="0"/>
        <w:textAlignment w:val="auto"/>
        <w:rPr>
          <w:rFonts w:hint="eastAsia"/>
          <w:b w:val="0"/>
          <w:bCs w:val="0"/>
          <w:i/>
          <w:iCs/>
          <w:highlight w:val="none"/>
          <w:lang w:val="en-US" w:eastAsia="zh-CN"/>
        </w:rPr>
      </w:pPr>
      <w:r>
        <w:rPr>
          <w:rFonts w:hint="eastAsia"/>
          <w:b w:val="0"/>
          <w:bCs w:val="0"/>
          <w:i/>
          <w:iCs/>
          <w:highlight w:val="none"/>
          <w:lang w:val="en-US" w:eastAsia="zh-CN"/>
        </w:rPr>
        <w:t xml:space="preserve">DL polarization </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exact"/>
        <w:ind w:left="840" w:leftChars="0" w:hanging="420" w:firstLineChars="0"/>
        <w:textAlignment w:val="auto"/>
        <w:rPr>
          <w:rFonts w:hint="eastAsia"/>
          <w:b w:val="0"/>
          <w:bCs w:val="0"/>
          <w:i/>
          <w:iCs/>
          <w:highlight w:val="none"/>
          <w:lang w:val="en-US" w:eastAsia="zh-CN"/>
        </w:rPr>
      </w:pPr>
      <w:r>
        <w:rPr>
          <w:rFonts w:hint="eastAsia"/>
          <w:b w:val="0"/>
          <w:bCs w:val="0"/>
          <w:i/>
          <w:iCs/>
          <w:highlight w:val="none"/>
          <w:lang w:val="en-US" w:eastAsia="zh-CN"/>
        </w:rPr>
        <w:t>validity time</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exact"/>
        <w:ind w:left="840" w:leftChars="0" w:hanging="420" w:firstLineChars="0"/>
        <w:textAlignment w:val="auto"/>
        <w:rPr>
          <w:rFonts w:hint="default"/>
          <w:b w:val="0"/>
          <w:bCs w:val="0"/>
          <w:i/>
          <w:iCs/>
          <w:highlight w:val="none"/>
          <w:lang w:val="en-US" w:eastAsia="zh-CN"/>
        </w:rPr>
      </w:pPr>
      <w:r>
        <w:rPr>
          <w:rFonts w:hint="eastAsia"/>
          <w:b w:val="0"/>
          <w:bCs w:val="0"/>
          <w:i/>
          <w:iCs/>
          <w:highlight w:val="none"/>
          <w:lang w:val="en-US" w:eastAsia="zh-CN"/>
        </w:rPr>
        <w:t>epochTime of assistance information (e.g., common TA)</w:t>
      </w:r>
    </w:p>
    <w:p>
      <w:pPr>
        <w:keepNext w:val="0"/>
        <w:keepLines w:val="0"/>
        <w:pageBreakBefore w:val="0"/>
        <w:widowControl/>
        <w:numPr>
          <w:ilvl w:val="0"/>
          <w:numId w:val="0"/>
        </w:numPr>
        <w:kinsoku/>
        <w:wordWrap/>
        <w:overflowPunct w:val="0"/>
        <w:topLinePunct w:val="0"/>
        <w:autoSpaceDE w:val="0"/>
        <w:autoSpaceDN w:val="0"/>
        <w:bidi w:val="0"/>
        <w:adjustRightInd w:val="0"/>
        <w:snapToGrid/>
        <w:ind w:leftChars="0"/>
        <w:textAlignment w:val="auto"/>
        <w:rPr>
          <w:rFonts w:hint="eastAsia"/>
          <w:b w:val="0"/>
          <w:bCs w:val="0"/>
          <w:i/>
          <w:iCs/>
          <w:lang w:val="en-US" w:eastAsia="zh-CN"/>
        </w:rPr>
      </w:pPr>
      <w:r>
        <w:rPr>
          <w:rFonts w:hint="eastAsia"/>
          <w:b w:val="0"/>
          <w:bCs w:val="0"/>
          <w:i/>
          <w:iCs/>
          <w:highlight w:val="none"/>
          <w:lang w:val="en-US" w:eastAsia="zh-CN"/>
        </w:rPr>
        <w:t>Observation 8: Current signalling can already support required information for idle/inactive neighboring cell measurement as descried in observation 6, which is guaranteed by proper NW implementation</w:t>
      </w:r>
      <w:r>
        <w:rPr>
          <w:rFonts w:hint="eastAsia"/>
          <w:b w:val="0"/>
          <w:bCs w:val="0"/>
          <w:i/>
          <w:iCs/>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ind w:leftChars="0"/>
        <w:textAlignment w:val="auto"/>
        <w:rPr>
          <w:rFonts w:hint="default"/>
          <w:b w:val="0"/>
          <w:bCs w:val="0"/>
          <w:i/>
          <w:iCs/>
          <w:sz w:val="21"/>
          <w:szCs w:val="21"/>
          <w:lang w:val="en-US" w:eastAsia="zh-CN"/>
        </w:rPr>
      </w:pPr>
      <w:r>
        <w:rPr>
          <w:rFonts w:hint="eastAsia"/>
          <w:b w:val="0"/>
          <w:bCs w:val="0"/>
          <w:i/>
          <w:iCs/>
          <w:sz w:val="21"/>
          <w:szCs w:val="21"/>
          <w:lang w:val="en-US" w:eastAsia="zh-CN"/>
        </w:rPr>
        <w:t>Observation 9: SIB3/4 contains frequency and optional cell specific parameters for neighboring cell reselection and measurements where cell specific parameters associated to each PCI are used for  cell reselection criteria evaluation.</w:t>
      </w:r>
    </w:p>
    <w:p>
      <w:pPr>
        <w:keepNext w:val="0"/>
        <w:keepLines w:val="0"/>
        <w:pageBreakBefore w:val="0"/>
        <w:widowControl/>
        <w:numPr>
          <w:ilvl w:val="0"/>
          <w:numId w:val="0"/>
        </w:numPr>
        <w:kinsoku/>
        <w:wordWrap/>
        <w:overflowPunct w:val="0"/>
        <w:topLinePunct w:val="0"/>
        <w:autoSpaceDE w:val="0"/>
        <w:autoSpaceDN w:val="0"/>
        <w:bidi w:val="0"/>
        <w:adjustRightInd w:val="0"/>
        <w:snapToGrid/>
        <w:ind w:leftChars="0"/>
        <w:textAlignment w:val="auto"/>
        <w:rPr>
          <w:rFonts w:hint="eastAsia"/>
          <w:b w:val="0"/>
          <w:bCs w:val="0"/>
          <w:i/>
          <w:iCs/>
          <w:sz w:val="21"/>
          <w:szCs w:val="21"/>
          <w:lang w:val="en-US" w:eastAsia="zh-CN"/>
        </w:rPr>
      </w:pPr>
      <w:r>
        <w:rPr>
          <w:rFonts w:hint="eastAsia"/>
          <w:b w:val="0"/>
          <w:bCs w:val="0"/>
          <w:i/>
          <w:iCs/>
          <w:sz w:val="21"/>
          <w:szCs w:val="21"/>
          <w:lang w:val="en-US" w:eastAsia="zh-CN"/>
        </w:rPr>
        <w:t xml:space="preserve">Observation 10: When PCIs are not present in </w:t>
      </w:r>
      <w:r>
        <w:rPr>
          <w:b w:val="0"/>
          <w:bCs w:val="0"/>
          <w:i/>
          <w:iCs/>
          <w:sz w:val="21"/>
          <w:szCs w:val="21"/>
        </w:rPr>
        <w:t>NTN-NeighCellConfig</w:t>
      </w:r>
      <w:r>
        <w:rPr>
          <w:rFonts w:hint="eastAsia"/>
          <w:b w:val="0"/>
          <w:bCs w:val="0"/>
          <w:i/>
          <w:iCs/>
          <w:sz w:val="21"/>
          <w:szCs w:val="21"/>
          <w:lang w:val="en-US" w:eastAsia="zh-CN"/>
        </w:rPr>
        <w:t xml:space="preserve"> of</w:t>
      </w:r>
      <w:r>
        <w:rPr>
          <w:b w:val="0"/>
          <w:bCs w:val="0"/>
          <w:i/>
          <w:iCs/>
          <w:sz w:val="21"/>
          <w:szCs w:val="21"/>
        </w:rPr>
        <w:t xml:space="preserve"> </w:t>
      </w:r>
      <w:r>
        <w:rPr>
          <w:rFonts w:hint="eastAsia"/>
          <w:b w:val="0"/>
          <w:bCs w:val="0"/>
          <w:i/>
          <w:iCs/>
          <w:sz w:val="21"/>
          <w:szCs w:val="21"/>
          <w:lang w:val="en-US" w:eastAsia="zh-CN"/>
        </w:rPr>
        <w:t>SIB19 it is assumed that the NTN-Config is applicable for all possible PCIs detected in this frequency, which makes it possible for UE to perform NTN neighboring cell measurements.</w:t>
      </w:r>
    </w:p>
    <w:p>
      <w:pPr>
        <w:keepNext w:val="0"/>
        <w:keepLines w:val="0"/>
        <w:pageBreakBefore w:val="0"/>
        <w:widowControl/>
        <w:numPr>
          <w:ilvl w:val="0"/>
          <w:numId w:val="0"/>
        </w:numPr>
        <w:kinsoku/>
        <w:wordWrap/>
        <w:overflowPunct w:val="0"/>
        <w:topLinePunct w:val="0"/>
        <w:autoSpaceDE w:val="0"/>
        <w:autoSpaceDN w:val="0"/>
        <w:bidi w:val="0"/>
        <w:adjustRightInd w:val="0"/>
        <w:snapToGrid/>
        <w:ind w:leftChars="0"/>
        <w:textAlignment w:val="auto"/>
        <w:rPr>
          <w:rFonts w:hint="eastAsia"/>
          <w:b w:val="0"/>
          <w:bCs w:val="0"/>
          <w:i/>
          <w:iCs/>
          <w:sz w:val="21"/>
          <w:szCs w:val="21"/>
          <w:lang w:val="en-US" w:eastAsia="zh-CN"/>
        </w:rPr>
      </w:pPr>
      <w:r>
        <w:rPr>
          <w:rFonts w:hint="eastAsia"/>
          <w:b w:val="0"/>
          <w:bCs w:val="0"/>
          <w:i/>
          <w:iCs/>
          <w:sz w:val="21"/>
          <w:szCs w:val="21"/>
          <w:lang w:val="en-US" w:eastAsia="zh-CN"/>
        </w:rPr>
        <w:t>Observation 11: When PCIs are not configured in SIB3/4, it implies frequency specific priorities are used for cell reslection, UE shall consider all PCIs that it can be able to measurement, i.e., PCIs that indicated by SIB19.</w:t>
      </w:r>
    </w:p>
    <w:p>
      <w:pPr>
        <w:keepNext w:val="0"/>
        <w:keepLines w:val="0"/>
        <w:pageBreakBefore w:val="0"/>
        <w:widowControl/>
        <w:numPr>
          <w:ilvl w:val="0"/>
          <w:numId w:val="0"/>
        </w:numPr>
        <w:kinsoku/>
        <w:wordWrap/>
        <w:overflowPunct w:val="0"/>
        <w:topLinePunct w:val="0"/>
        <w:autoSpaceDE w:val="0"/>
        <w:autoSpaceDN w:val="0"/>
        <w:bidi w:val="0"/>
        <w:adjustRightInd w:val="0"/>
        <w:snapToGrid/>
        <w:ind w:leftChars="0"/>
        <w:textAlignment w:val="auto"/>
        <w:rPr>
          <w:rFonts w:hint="eastAsia"/>
          <w:b w:val="0"/>
          <w:bCs w:val="0"/>
          <w:i/>
          <w:iCs/>
          <w:sz w:val="21"/>
          <w:szCs w:val="21"/>
          <w:lang w:val="en-US" w:eastAsia="zh-CN"/>
        </w:rPr>
      </w:pPr>
      <w:r>
        <w:rPr>
          <w:rFonts w:hint="eastAsia"/>
          <w:b w:val="0"/>
          <w:bCs w:val="0"/>
          <w:i/>
          <w:iCs/>
          <w:sz w:val="21"/>
          <w:szCs w:val="21"/>
          <w:lang w:val="en-US" w:eastAsia="zh-CN"/>
        </w:rPr>
        <w:t>Observation 12: validity duration, epochTime of assisting information and ephemeris used for connected mode neighboring cell measurement is included in SIB19 while DL polarization is included in both MO and SIB19.</w:t>
      </w:r>
    </w:p>
    <w:p>
      <w:pPr>
        <w:keepNext w:val="0"/>
        <w:keepLines w:val="0"/>
        <w:pageBreakBefore w:val="0"/>
        <w:widowControl/>
        <w:numPr>
          <w:ilvl w:val="0"/>
          <w:numId w:val="0"/>
        </w:numPr>
        <w:kinsoku/>
        <w:wordWrap/>
        <w:overflowPunct w:val="0"/>
        <w:topLinePunct w:val="0"/>
        <w:autoSpaceDE w:val="0"/>
        <w:autoSpaceDN w:val="0"/>
        <w:bidi w:val="0"/>
        <w:adjustRightInd w:val="0"/>
        <w:snapToGrid/>
        <w:ind w:leftChars="0"/>
        <w:textAlignment w:val="auto"/>
        <w:rPr>
          <w:rFonts w:hint="eastAsia"/>
          <w:b w:val="0"/>
          <w:bCs w:val="0"/>
          <w:i/>
          <w:iCs/>
          <w:sz w:val="21"/>
          <w:szCs w:val="21"/>
          <w:lang w:val="en-US" w:eastAsia="zh-CN"/>
        </w:rPr>
      </w:pPr>
      <w:r>
        <w:rPr>
          <w:rFonts w:hint="eastAsia"/>
          <w:b w:val="0"/>
          <w:bCs w:val="0"/>
          <w:i/>
          <w:iCs/>
          <w:sz w:val="21"/>
          <w:szCs w:val="21"/>
          <w:lang w:val="en-US" w:eastAsia="zh-CN"/>
        </w:rPr>
        <w:t xml:space="preserve">Observation 13: In NTN, UE will need to obtain information from both SIB19 and MO to perform neighboring cell measurements, which may not be efficient. </w:t>
      </w:r>
    </w:p>
    <w:p>
      <w:pPr>
        <w:keepNext w:val="0"/>
        <w:keepLines w:val="0"/>
        <w:pageBreakBefore w:val="0"/>
        <w:widowControl/>
        <w:numPr>
          <w:ilvl w:val="0"/>
          <w:numId w:val="0"/>
        </w:numPr>
        <w:kinsoku/>
        <w:wordWrap/>
        <w:overflowPunct w:val="0"/>
        <w:topLinePunct w:val="0"/>
        <w:autoSpaceDE w:val="0"/>
        <w:autoSpaceDN w:val="0"/>
        <w:bidi w:val="0"/>
        <w:adjustRightInd w:val="0"/>
        <w:snapToGrid/>
        <w:ind w:leftChars="0"/>
        <w:textAlignment w:val="auto"/>
        <w:rPr>
          <w:rFonts w:hint="eastAsia"/>
          <w:b/>
          <w:bCs/>
          <w:sz w:val="21"/>
          <w:szCs w:val="21"/>
          <w:lang w:val="en-US" w:eastAsia="zh-CN"/>
        </w:rPr>
      </w:pPr>
      <w:r>
        <w:rPr>
          <w:rFonts w:hint="eastAsia"/>
          <w:b/>
          <w:bCs/>
          <w:sz w:val="21"/>
          <w:szCs w:val="21"/>
          <w:lang w:val="en-US" w:eastAsia="zh-CN"/>
        </w:rPr>
        <w:t xml:space="preserve">Proposal 1: When PCIs are not present in </w:t>
      </w:r>
      <w:r>
        <w:rPr>
          <w:b/>
          <w:bCs/>
          <w:sz w:val="21"/>
          <w:szCs w:val="21"/>
        </w:rPr>
        <w:t>NTN-NeighCellConfig</w:t>
      </w:r>
      <w:r>
        <w:rPr>
          <w:rFonts w:hint="eastAsia"/>
          <w:b/>
          <w:bCs/>
          <w:sz w:val="21"/>
          <w:szCs w:val="21"/>
          <w:lang w:val="en-US" w:eastAsia="zh-CN"/>
        </w:rPr>
        <w:t xml:space="preserve"> of</w:t>
      </w:r>
      <w:r>
        <w:rPr>
          <w:b/>
          <w:bCs/>
          <w:sz w:val="21"/>
          <w:szCs w:val="21"/>
        </w:rPr>
        <w:t xml:space="preserve"> </w:t>
      </w:r>
      <w:r>
        <w:rPr>
          <w:rFonts w:hint="eastAsia"/>
          <w:b/>
          <w:bCs/>
          <w:sz w:val="21"/>
          <w:szCs w:val="21"/>
          <w:lang w:val="en-US" w:eastAsia="zh-CN"/>
        </w:rPr>
        <w:t>SIB19 idle/inactive UE shall perform neighboring cell measurements on PCIs indicated by SIB3/4 of the same frequency.</w:t>
      </w:r>
    </w:p>
    <w:p>
      <w:pPr>
        <w:keepNext w:val="0"/>
        <w:keepLines w:val="0"/>
        <w:pageBreakBefore w:val="0"/>
        <w:widowControl/>
        <w:numPr>
          <w:ilvl w:val="0"/>
          <w:numId w:val="0"/>
        </w:numPr>
        <w:kinsoku/>
        <w:wordWrap/>
        <w:overflowPunct w:val="0"/>
        <w:topLinePunct w:val="0"/>
        <w:autoSpaceDE w:val="0"/>
        <w:autoSpaceDN w:val="0"/>
        <w:bidi w:val="0"/>
        <w:adjustRightInd w:val="0"/>
        <w:snapToGrid/>
        <w:ind w:leftChars="0"/>
        <w:textAlignment w:val="auto"/>
        <w:rPr>
          <w:rFonts w:hint="eastAsia"/>
          <w:b w:val="0"/>
          <w:bCs w:val="0"/>
          <w:i/>
          <w:iCs/>
          <w:sz w:val="21"/>
          <w:szCs w:val="21"/>
          <w:lang w:val="en-US" w:eastAsia="zh-CN"/>
        </w:rPr>
      </w:pPr>
      <w:r>
        <w:rPr>
          <w:rFonts w:hint="eastAsia"/>
          <w:b/>
          <w:bCs/>
          <w:sz w:val="21"/>
          <w:szCs w:val="21"/>
          <w:lang w:val="en-US" w:eastAsia="zh-CN"/>
        </w:rPr>
        <w:t xml:space="preserve">Proposal 2: When PCIs are not configured in SIB3/4, idle/inactive UE performs neighboring cell measurements on PCIs that is present in SIB19 with the same frequency (no specs impact). </w:t>
      </w:r>
    </w:p>
    <w:p>
      <w:pPr>
        <w:keepNext w:val="0"/>
        <w:keepLines w:val="0"/>
        <w:pageBreakBefore w:val="0"/>
        <w:widowControl/>
        <w:numPr>
          <w:ilvl w:val="0"/>
          <w:numId w:val="0"/>
        </w:numPr>
        <w:kinsoku/>
        <w:wordWrap/>
        <w:overflowPunct w:val="0"/>
        <w:topLinePunct w:val="0"/>
        <w:autoSpaceDE w:val="0"/>
        <w:autoSpaceDN w:val="0"/>
        <w:bidi w:val="0"/>
        <w:adjustRightInd w:val="0"/>
        <w:snapToGrid/>
        <w:ind w:leftChars="0"/>
        <w:textAlignment w:val="auto"/>
        <w:rPr>
          <w:rFonts w:hint="eastAsia"/>
          <w:b/>
          <w:bCs/>
          <w:vertAlign w:val="baseline"/>
          <w:lang w:val="en-US" w:eastAsia="zh-CN"/>
        </w:rPr>
      </w:pPr>
      <w:r>
        <w:rPr>
          <w:rFonts w:hint="eastAsia"/>
          <w:b/>
          <w:bCs/>
          <w:vertAlign w:val="baseline"/>
          <w:lang w:val="en-US" w:eastAsia="zh-CN"/>
        </w:rPr>
        <w:t>Proposal 3：</w:t>
      </w:r>
      <w:r>
        <w:rPr>
          <w:rFonts w:hint="eastAsia"/>
          <w:b/>
          <w:bCs/>
          <w:sz w:val="21"/>
          <w:szCs w:val="21"/>
          <w:lang w:val="en-US" w:eastAsia="zh-CN"/>
        </w:rPr>
        <w:t>Include below assisting information in RRM measurement configuration. Connected UE follows MO configuration to perform neighboring cell measurements</w:t>
      </w:r>
    </w:p>
    <w:p>
      <w:pPr>
        <w:keepNext w:val="0"/>
        <w:keepLines w:val="0"/>
        <w:pageBreakBefore w:val="0"/>
        <w:widowControl/>
        <w:numPr>
          <w:ilvl w:val="0"/>
          <w:numId w:val="9"/>
        </w:numPr>
        <w:kinsoku/>
        <w:wordWrap/>
        <w:overflowPunct w:val="0"/>
        <w:topLinePunct w:val="0"/>
        <w:autoSpaceDE w:val="0"/>
        <w:autoSpaceDN w:val="0"/>
        <w:bidi w:val="0"/>
        <w:adjustRightInd w:val="0"/>
        <w:snapToGrid/>
        <w:spacing w:after="0" w:line="240" w:lineRule="auto"/>
        <w:ind w:left="420" w:leftChars="0" w:hanging="420" w:firstLineChars="0"/>
        <w:textAlignment w:val="auto"/>
        <w:rPr>
          <w:rFonts w:hint="default"/>
          <w:b/>
          <w:bCs/>
          <w:vertAlign w:val="baseline"/>
          <w:lang w:val="en-US" w:eastAsia="zh-CN"/>
        </w:rPr>
      </w:pPr>
      <w:r>
        <w:rPr>
          <w:rFonts w:hint="eastAsia"/>
          <w:b/>
          <w:bCs/>
          <w:vertAlign w:val="baseline"/>
          <w:lang w:val="en-US" w:eastAsia="zh-CN"/>
        </w:rPr>
        <w:t xml:space="preserve"> Neighboring cell ephemeris</w:t>
      </w:r>
    </w:p>
    <w:p>
      <w:pPr>
        <w:keepNext w:val="0"/>
        <w:keepLines w:val="0"/>
        <w:pageBreakBefore w:val="0"/>
        <w:widowControl/>
        <w:numPr>
          <w:ilvl w:val="0"/>
          <w:numId w:val="9"/>
        </w:numPr>
        <w:kinsoku/>
        <w:wordWrap/>
        <w:overflowPunct w:val="0"/>
        <w:topLinePunct w:val="0"/>
        <w:autoSpaceDE w:val="0"/>
        <w:autoSpaceDN w:val="0"/>
        <w:bidi w:val="0"/>
        <w:adjustRightInd w:val="0"/>
        <w:snapToGrid/>
        <w:spacing w:after="0" w:line="240" w:lineRule="auto"/>
        <w:ind w:left="420" w:leftChars="0" w:hanging="420" w:firstLineChars="0"/>
        <w:textAlignment w:val="auto"/>
        <w:rPr>
          <w:rFonts w:hint="default"/>
          <w:b/>
          <w:bCs/>
          <w:vertAlign w:val="baseline"/>
          <w:lang w:val="en-US" w:eastAsia="zh-CN"/>
        </w:rPr>
      </w:pPr>
      <w:r>
        <w:rPr>
          <w:rFonts w:hint="eastAsia"/>
          <w:b/>
          <w:bCs/>
          <w:vertAlign w:val="baseline"/>
          <w:lang w:val="en-US" w:eastAsia="zh-CN"/>
        </w:rPr>
        <w:t xml:space="preserve"> Epoch time of associated assistance information</w:t>
      </w:r>
    </w:p>
    <w:p>
      <w:pPr>
        <w:keepNext w:val="0"/>
        <w:keepLines w:val="0"/>
        <w:pageBreakBefore w:val="0"/>
        <w:widowControl/>
        <w:numPr>
          <w:ilvl w:val="0"/>
          <w:numId w:val="9"/>
        </w:numPr>
        <w:kinsoku/>
        <w:wordWrap/>
        <w:overflowPunct w:val="0"/>
        <w:topLinePunct w:val="0"/>
        <w:autoSpaceDE w:val="0"/>
        <w:autoSpaceDN w:val="0"/>
        <w:bidi w:val="0"/>
        <w:adjustRightInd w:val="0"/>
        <w:snapToGrid/>
        <w:spacing w:after="0" w:line="240" w:lineRule="auto"/>
        <w:ind w:left="420" w:leftChars="0" w:hanging="420" w:firstLineChars="0"/>
        <w:textAlignment w:val="auto"/>
        <w:rPr>
          <w:rFonts w:hint="default"/>
          <w:b/>
          <w:bCs/>
          <w:vertAlign w:val="baseline"/>
          <w:lang w:val="en-US" w:eastAsia="zh-CN"/>
        </w:rPr>
      </w:pPr>
      <w:r>
        <w:rPr>
          <w:rFonts w:hint="eastAsia"/>
          <w:b/>
          <w:bCs/>
          <w:vertAlign w:val="baseline"/>
          <w:lang w:val="en-US" w:eastAsia="zh-CN"/>
        </w:rPr>
        <w:t xml:space="preserve"> Validity timer duration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line="240" w:lineRule="auto"/>
        <w:ind w:leftChars="0"/>
        <w:textAlignment w:val="auto"/>
        <w:rPr>
          <w:rFonts w:hint="default"/>
          <w:b/>
          <w:bCs/>
          <w:vertAlign w:val="baseline"/>
          <w:lang w:val="en-US" w:eastAsia="zh-CN"/>
        </w:rPr>
      </w:pP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line="240" w:lineRule="auto"/>
        <w:ind w:leftChars="0"/>
        <w:textAlignment w:val="auto"/>
        <w:rPr>
          <w:rFonts w:hint="default"/>
          <w:b/>
          <w:bCs/>
          <w:vertAlign w:val="baseline"/>
          <w:lang w:val="en-US" w:eastAsia="zh-CN"/>
        </w:rPr>
      </w:pPr>
      <w:r>
        <w:rPr>
          <w:rFonts w:hint="eastAsia"/>
          <w:b/>
          <w:bCs/>
          <w:vertAlign w:val="baseline"/>
          <w:lang w:val="en-US" w:eastAsia="zh-CN"/>
        </w:rPr>
        <w:t>Proposal 4: RAN2 to discuss and agree on the CR provided in R2-2301138 and R2-2301139.</w:t>
      </w:r>
    </w:p>
    <w:p>
      <w:pPr>
        <w:rPr>
          <w:rFonts w:hint="eastAsia" w:ascii="Arial" w:hAnsi="Arial" w:cs="Arial"/>
          <w:b/>
          <w:bCs w:val="0"/>
          <w:kern w:val="0"/>
          <w:sz w:val="20"/>
          <w:szCs w:val="20"/>
          <w:u w:val="single"/>
          <w:lang w:val="en-US" w:eastAsia="zh-CN"/>
        </w:rPr>
      </w:pPr>
    </w:p>
    <w:p>
      <w:pPr>
        <w:rPr>
          <w:rFonts w:hint="eastAsia" w:ascii="Arial" w:hAnsi="Arial" w:cs="Arial"/>
          <w:b/>
          <w:bCs w:val="0"/>
          <w:kern w:val="0"/>
          <w:sz w:val="20"/>
          <w:szCs w:val="20"/>
          <w:u w:val="single"/>
          <w:lang w:val="en-US" w:eastAsia="zh-CN"/>
        </w:rPr>
      </w:pPr>
    </w:p>
    <w:p>
      <w:pPr>
        <w:pStyle w:val="68"/>
        <w:widowControl/>
        <w:ind w:firstLine="0" w:firstLineChars="0"/>
        <w:jc w:val="left"/>
        <w:rPr>
          <w:rFonts w:ascii="Arial" w:hAnsi="Arial" w:cs="Arial"/>
          <w:b/>
          <w:sz w:val="20"/>
          <w:szCs w:val="20"/>
        </w:rPr>
      </w:pPr>
    </w:p>
    <w:p>
      <w:pPr>
        <w:rPr>
          <w:rFonts w:ascii="Arial" w:hAnsi="Arial" w:cs="Arial"/>
          <w:b w:val="0"/>
          <w:bCs w:val="0"/>
          <w:kern w:val="0"/>
          <w:sz w:val="32"/>
          <w:szCs w:val="36"/>
        </w:rPr>
      </w:pPr>
      <w:r>
        <w:rPr>
          <w:rFonts w:ascii="Arial" w:hAnsi="Arial" w:cs="Arial"/>
          <w:b w:val="0"/>
          <w:bCs w:val="0"/>
          <w:kern w:val="0"/>
          <w:sz w:val="32"/>
          <w:szCs w:val="36"/>
        </w:rPr>
        <w:br w:type="page"/>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r>
        <w:rPr>
          <w:rFonts w:hint="eastAsia" w:ascii="Arial" w:hAnsi="Arial" w:cs="Arial"/>
          <w:b w:val="0"/>
          <w:bCs w:val="0"/>
          <w:kern w:val="0"/>
          <w:sz w:val="32"/>
          <w:szCs w:val="36"/>
          <w:lang w:val="en-US" w:eastAsia="zh-CN"/>
        </w:rPr>
        <w:t xml:space="preserve"> </w:t>
      </w:r>
    </w:p>
    <w:p>
      <w:pPr>
        <w:numPr>
          <w:ilvl w:val="0"/>
          <w:numId w:val="10"/>
        </w:numPr>
        <w:spacing w:before="156"/>
        <w:rPr>
          <w:rFonts w:hint="eastAsia"/>
          <w:color w:val="000000"/>
          <w:sz w:val="22"/>
          <w:szCs w:val="22"/>
          <w:lang w:val="en-US" w:eastAsia="zh-CN"/>
        </w:rPr>
      </w:pPr>
      <w:bookmarkStart w:id="6" w:name="OLE_LINK6"/>
      <w:r>
        <w:rPr>
          <w:rFonts w:hint="eastAsia"/>
          <w:color w:val="000000"/>
          <w:sz w:val="22"/>
          <w:szCs w:val="22"/>
          <w:lang w:val="en-US" w:eastAsia="zh-CN"/>
        </w:rPr>
        <w:t>R2-2213001</w:t>
      </w:r>
      <w:r>
        <w:rPr>
          <w:rFonts w:hint="eastAsia"/>
          <w:color w:val="000000"/>
          <w:sz w:val="22"/>
          <w:szCs w:val="22"/>
          <w:lang w:val="en-US" w:eastAsia="zh-CN"/>
        </w:rPr>
        <w:tab/>
      </w:r>
      <w:r>
        <w:rPr>
          <w:rFonts w:hint="eastAsia"/>
          <w:color w:val="000000"/>
          <w:sz w:val="22"/>
          <w:szCs w:val="22"/>
          <w:lang w:val="en-US" w:eastAsia="zh-CN"/>
        </w:rPr>
        <w:t>Report from Break-Out Session on NTN, IoT NTN, RedCap and CE</w:t>
      </w:r>
      <w:r>
        <w:rPr>
          <w:rFonts w:hint="eastAsia"/>
          <w:color w:val="000000"/>
          <w:sz w:val="22"/>
          <w:szCs w:val="22"/>
          <w:lang w:val="en-US" w:eastAsia="zh-CN"/>
        </w:rPr>
        <w:tab/>
      </w:r>
      <w:r>
        <w:rPr>
          <w:rFonts w:hint="eastAsia"/>
          <w:color w:val="000000"/>
          <w:sz w:val="22"/>
          <w:szCs w:val="22"/>
          <w:lang w:val="en-US" w:eastAsia="zh-CN"/>
        </w:rPr>
        <w:t>Vice Chairman (ZTE)</w:t>
      </w:r>
      <w:r>
        <w:rPr>
          <w:rFonts w:hint="eastAsia"/>
          <w:color w:val="000000"/>
          <w:sz w:val="22"/>
          <w:szCs w:val="22"/>
          <w:lang w:val="en-US" w:eastAsia="zh-CN"/>
        </w:rPr>
        <w:tab/>
      </w:r>
      <w:r>
        <w:rPr>
          <w:rFonts w:hint="eastAsia"/>
          <w:color w:val="000000"/>
          <w:sz w:val="22"/>
          <w:szCs w:val="22"/>
          <w:lang w:val="en-US" w:eastAsia="zh-CN"/>
        </w:rPr>
        <w:t>Report</w:t>
      </w:r>
    </w:p>
    <w:p>
      <w:pPr>
        <w:numPr>
          <w:ilvl w:val="0"/>
          <w:numId w:val="10"/>
        </w:numPr>
        <w:spacing w:before="156"/>
        <w:rPr>
          <w:rFonts w:hint="eastAsia"/>
          <w:color w:val="000000"/>
          <w:sz w:val="22"/>
          <w:szCs w:val="22"/>
          <w:lang w:val="en-US" w:eastAsia="zh-CN"/>
        </w:rPr>
      </w:pPr>
      <w:r>
        <w:rPr>
          <w:rFonts w:hint="eastAsia"/>
          <w:color w:val="000000"/>
          <w:sz w:val="22"/>
          <w:szCs w:val="22"/>
          <w:lang w:val="en-US" w:eastAsia="zh-CN"/>
        </w:rPr>
        <w:t>R2-2200129  LS on NR NTN Neighbor Cell and Satellite Information    RAN4</w:t>
      </w:r>
    </w:p>
    <w:p>
      <w:pPr>
        <w:numPr>
          <w:ilvl w:val="0"/>
          <w:numId w:val="10"/>
        </w:numPr>
        <w:spacing w:before="156"/>
        <w:rPr>
          <w:rFonts w:hint="eastAsia"/>
          <w:color w:val="000000"/>
          <w:sz w:val="22"/>
          <w:szCs w:val="22"/>
          <w:lang w:val="en-US" w:eastAsia="zh-CN"/>
        </w:rPr>
      </w:pPr>
      <w:r>
        <w:rPr>
          <w:rFonts w:hint="eastAsia"/>
          <w:color w:val="000000"/>
          <w:sz w:val="22"/>
          <w:szCs w:val="22"/>
          <w:lang w:val="en-US" w:eastAsia="zh-CN"/>
        </w:rPr>
        <w:t xml:space="preserve">R2-2201884  </w:t>
      </w:r>
      <w:r>
        <w:t>Reply LS on NR NTN Neighbor Cell and Satellite Information</w:t>
      </w:r>
      <w:r>
        <w:rPr>
          <w:rFonts w:hint="eastAsia"/>
          <w:lang w:val="en-US" w:eastAsia="zh-CN"/>
        </w:rPr>
        <w:t xml:space="preserve">  RAN2</w:t>
      </w:r>
    </w:p>
    <w:p>
      <w:pPr>
        <w:numPr>
          <w:ilvl w:val="0"/>
          <w:numId w:val="10"/>
        </w:numPr>
        <w:spacing w:before="156"/>
        <w:rPr>
          <w:rFonts w:hint="eastAsia"/>
          <w:lang w:val="en-US" w:eastAsia="zh-CN"/>
        </w:rPr>
      </w:pPr>
      <w:r>
        <w:t>R2-2204131</w:t>
      </w:r>
      <w:r>
        <w:rPr>
          <w:rFonts w:hint="eastAsia"/>
          <w:lang w:val="en-US" w:eastAsia="zh-CN"/>
        </w:rPr>
        <w:t xml:space="preserve"> </w:t>
      </w:r>
      <w:r>
        <w:rPr>
          <w:lang w:val="en-US"/>
        </w:rPr>
        <w:t>Reply LS to RAN2 on NR NTN Neighbour Cell and Satellite Information</w:t>
      </w:r>
      <w:r>
        <w:rPr>
          <w:rFonts w:hint="eastAsia"/>
          <w:lang w:val="en-US" w:eastAsia="zh-CN"/>
        </w:rPr>
        <w:t xml:space="preserve">  RAN1</w:t>
      </w:r>
    </w:p>
    <w:p>
      <w:pPr>
        <w:numPr>
          <w:ilvl w:val="0"/>
          <w:numId w:val="10"/>
        </w:numPr>
        <w:spacing w:before="156"/>
        <w:rPr>
          <w:rFonts w:hint="eastAsia"/>
          <w:color w:val="000000"/>
          <w:sz w:val="22"/>
          <w:szCs w:val="22"/>
          <w:lang w:val="en-US" w:eastAsia="zh-CN"/>
        </w:rPr>
      </w:pPr>
      <w:r>
        <w:rPr>
          <w:rFonts w:hint="eastAsia"/>
          <w:color w:val="000000"/>
          <w:sz w:val="22"/>
          <w:szCs w:val="22"/>
          <w:lang w:val="en-US" w:eastAsia="zh-CN"/>
        </w:rPr>
        <w:fldChar w:fldCharType="begin"/>
      </w:r>
      <w:r>
        <w:rPr>
          <w:rFonts w:hint="eastAsia"/>
          <w:color w:val="000000"/>
          <w:sz w:val="22"/>
          <w:szCs w:val="22"/>
          <w:lang w:val="en-US" w:eastAsia="zh-CN"/>
        </w:rPr>
        <w:instrText xml:space="preserve"> HYPERLINK "https://www.3gpp.org/ftp/TSG_RAN/WG2_RL2/TSGR2_118-e/Docs/R2-2206152.zip" </w:instrText>
      </w:r>
      <w:r>
        <w:rPr>
          <w:rFonts w:hint="eastAsia"/>
          <w:color w:val="000000"/>
          <w:sz w:val="22"/>
          <w:szCs w:val="22"/>
          <w:lang w:val="en-US" w:eastAsia="zh-CN"/>
        </w:rPr>
        <w:fldChar w:fldCharType="separate"/>
      </w:r>
      <w:r>
        <w:rPr>
          <w:rFonts w:hint="eastAsia"/>
          <w:color w:val="000000"/>
          <w:sz w:val="22"/>
          <w:szCs w:val="22"/>
          <w:lang w:val="en-US" w:eastAsia="zh-CN"/>
        </w:rPr>
        <w:t>R2-2206152</w:t>
      </w:r>
      <w:r>
        <w:rPr>
          <w:rFonts w:hint="eastAsia"/>
          <w:color w:val="000000"/>
          <w:sz w:val="22"/>
          <w:szCs w:val="22"/>
          <w:lang w:val="en-US" w:eastAsia="zh-CN"/>
        </w:rPr>
        <w:fldChar w:fldCharType="end"/>
      </w:r>
      <w:r>
        <w:rPr>
          <w:rFonts w:hint="eastAsia"/>
          <w:color w:val="000000"/>
          <w:sz w:val="22"/>
          <w:szCs w:val="22"/>
          <w:lang w:val="en-US" w:eastAsia="zh-CN"/>
        </w:rPr>
        <w:tab/>
      </w:r>
      <w:r>
        <w:rPr>
          <w:rFonts w:hint="eastAsia"/>
          <w:color w:val="000000"/>
          <w:sz w:val="22"/>
          <w:szCs w:val="22"/>
          <w:lang w:val="en-US" w:eastAsia="zh-CN"/>
        </w:rPr>
        <w:t>Report from Break-out session on R17 NTN, REDCAP and CE</w:t>
      </w:r>
      <w:r>
        <w:rPr>
          <w:rFonts w:hint="eastAsia"/>
          <w:color w:val="000000"/>
          <w:sz w:val="22"/>
          <w:szCs w:val="22"/>
          <w:lang w:val="en-US" w:eastAsia="zh-CN"/>
        </w:rPr>
        <w:tab/>
      </w:r>
      <w:r>
        <w:rPr>
          <w:rFonts w:hint="eastAsia"/>
          <w:color w:val="000000"/>
          <w:sz w:val="22"/>
          <w:szCs w:val="22"/>
          <w:lang w:val="en-US" w:eastAsia="zh-CN"/>
        </w:rPr>
        <w:t>Vice Chairman (ZTE)</w:t>
      </w:r>
      <w:r>
        <w:rPr>
          <w:rFonts w:hint="eastAsia"/>
          <w:color w:val="000000"/>
          <w:sz w:val="22"/>
          <w:szCs w:val="22"/>
          <w:lang w:val="en-US" w:eastAsia="zh-CN"/>
        </w:rPr>
        <w:tab/>
      </w:r>
      <w:r>
        <w:rPr>
          <w:rFonts w:hint="eastAsia"/>
          <w:color w:val="000000"/>
          <w:sz w:val="22"/>
          <w:szCs w:val="22"/>
          <w:lang w:val="en-US" w:eastAsia="zh-CN"/>
        </w:rPr>
        <w:t>Report</w:t>
      </w:r>
    </w:p>
    <w:p>
      <w:pPr>
        <w:numPr>
          <w:ilvl w:val="0"/>
          <w:numId w:val="10"/>
        </w:numPr>
        <w:spacing w:before="156"/>
        <w:rPr>
          <w:rFonts w:hint="eastAsia"/>
          <w:color w:val="000000"/>
          <w:sz w:val="22"/>
          <w:szCs w:val="22"/>
          <w:lang w:val="en-US" w:eastAsia="zh-CN"/>
        </w:rPr>
      </w:pPr>
      <w:r>
        <w:rPr>
          <w:rFonts w:hint="eastAsia"/>
          <w:color w:val="000000"/>
          <w:sz w:val="22"/>
          <w:szCs w:val="22"/>
          <w:lang w:val="en-US" w:eastAsia="zh-CN"/>
        </w:rPr>
        <w:t>R2-2301138</w:t>
      </w:r>
      <w:r>
        <w:rPr>
          <w:rFonts w:hint="eastAsia"/>
          <w:color w:val="000000"/>
          <w:sz w:val="22"/>
          <w:szCs w:val="22"/>
          <w:lang w:val="en-US" w:eastAsia="zh-CN"/>
        </w:rPr>
        <w:tab/>
      </w:r>
      <w:r>
        <w:rPr>
          <w:rFonts w:hint="eastAsia"/>
          <w:color w:val="000000"/>
          <w:sz w:val="22"/>
          <w:szCs w:val="22"/>
          <w:lang w:val="en-US" w:eastAsia="zh-CN"/>
        </w:rPr>
        <w:t>Correction on neighboring cell measurement in NTN</w:t>
      </w:r>
      <w:r>
        <w:rPr>
          <w:rFonts w:hint="eastAsia"/>
          <w:color w:val="000000"/>
          <w:sz w:val="22"/>
          <w:szCs w:val="22"/>
          <w:lang w:val="en-US" w:eastAsia="zh-CN"/>
        </w:rPr>
        <w:tab/>
      </w:r>
      <w:r>
        <w:rPr>
          <w:rFonts w:hint="eastAsia"/>
          <w:color w:val="000000"/>
          <w:sz w:val="22"/>
          <w:szCs w:val="22"/>
          <w:lang w:val="en-US" w:eastAsia="zh-CN"/>
        </w:rPr>
        <w:t>ZTE Corporation, Sanechips</w:t>
      </w:r>
    </w:p>
    <w:p>
      <w:pPr>
        <w:numPr>
          <w:ilvl w:val="0"/>
          <w:numId w:val="10"/>
        </w:numPr>
        <w:spacing w:before="156"/>
        <w:rPr>
          <w:rFonts w:hint="eastAsia"/>
          <w:color w:val="000000"/>
          <w:sz w:val="22"/>
          <w:szCs w:val="22"/>
          <w:lang w:val="en-US" w:eastAsia="zh-CN"/>
        </w:rPr>
      </w:pPr>
      <w:r>
        <w:rPr>
          <w:rFonts w:hint="eastAsia"/>
          <w:color w:val="000000"/>
          <w:sz w:val="22"/>
          <w:szCs w:val="22"/>
          <w:lang w:val="en-US" w:eastAsia="zh-CN"/>
        </w:rPr>
        <w:t>R2-2301139</w:t>
      </w:r>
      <w:r>
        <w:rPr>
          <w:rFonts w:hint="eastAsia"/>
          <w:color w:val="000000"/>
          <w:sz w:val="22"/>
          <w:szCs w:val="22"/>
          <w:lang w:val="en-US" w:eastAsia="zh-CN"/>
        </w:rPr>
        <w:tab/>
      </w:r>
      <w:r>
        <w:rPr>
          <w:rFonts w:hint="eastAsia"/>
          <w:color w:val="000000"/>
          <w:sz w:val="22"/>
          <w:szCs w:val="22"/>
          <w:lang w:val="en-US" w:eastAsia="zh-CN"/>
        </w:rPr>
        <w:t>Correction on neighboring cell measurement in NTN</w:t>
      </w:r>
      <w:r>
        <w:rPr>
          <w:rFonts w:hint="eastAsia"/>
          <w:color w:val="000000"/>
          <w:sz w:val="22"/>
          <w:szCs w:val="22"/>
          <w:lang w:val="en-US" w:eastAsia="zh-CN"/>
        </w:rPr>
        <w:tab/>
      </w:r>
      <w:r>
        <w:rPr>
          <w:rFonts w:hint="eastAsia"/>
          <w:color w:val="000000"/>
          <w:sz w:val="22"/>
          <w:szCs w:val="22"/>
          <w:lang w:val="en-US" w:eastAsia="zh-CN"/>
        </w:rPr>
        <w:t>ZTE Corporation, Sanechips</w:t>
      </w:r>
    </w:p>
    <w:p>
      <w:pPr>
        <w:numPr>
          <w:ilvl w:val="0"/>
          <w:numId w:val="10"/>
        </w:numPr>
        <w:spacing w:before="156"/>
        <w:rPr>
          <w:rFonts w:hint="eastAsia"/>
          <w:color w:val="000000"/>
          <w:sz w:val="22"/>
          <w:szCs w:val="22"/>
          <w:lang w:val="en-US" w:eastAsia="zh-CN"/>
        </w:rPr>
      </w:pPr>
      <w:r>
        <w:rPr>
          <w:rFonts w:hint="eastAsia"/>
          <w:color w:val="000000"/>
          <w:sz w:val="22"/>
          <w:szCs w:val="22"/>
          <w:lang w:val="en-US" w:eastAsia="zh-CN"/>
        </w:rPr>
        <w:t>38.300-h30</w:t>
      </w:r>
    </w:p>
    <w:p>
      <w:pPr>
        <w:numPr>
          <w:ilvl w:val="0"/>
          <w:numId w:val="10"/>
        </w:numPr>
        <w:spacing w:before="156"/>
        <w:rPr>
          <w:rFonts w:hint="eastAsia"/>
          <w:color w:val="000000"/>
          <w:sz w:val="22"/>
          <w:szCs w:val="22"/>
          <w:lang w:val="en-US" w:eastAsia="zh-CN"/>
        </w:rPr>
      </w:pPr>
      <w:r>
        <w:rPr>
          <w:rFonts w:hint="eastAsia"/>
          <w:color w:val="000000"/>
          <w:sz w:val="22"/>
          <w:szCs w:val="22"/>
          <w:lang w:val="en-US" w:eastAsia="zh-CN"/>
        </w:rPr>
        <w:t>38.331-h30</w:t>
      </w:r>
    </w:p>
    <w:bookmarkEnd w:id="6"/>
    <w:p>
      <w:pPr>
        <w:rPr>
          <w:rFonts w:ascii="Arial" w:hAnsi="Arial" w:cs="Arial"/>
          <w:bCs/>
          <w:kern w:val="0"/>
          <w:sz w:val="20"/>
          <w:szCs w:val="20"/>
        </w:rPr>
      </w:pPr>
    </w:p>
    <w:sectPr>
      <w:headerReference r:id="rId3" w:type="default"/>
      <w:footerReference r:id="rId4" w:type="default"/>
      <w:footerReference r:id="rId5" w:type="even"/>
      <w:pgSz w:w="11906" w:h="16838"/>
      <w:pgMar w:top="1440" w:right="1440" w:bottom="1440"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F43C8E"/>
    <w:multiLevelType w:val="multilevel"/>
    <w:tmpl w:val="ADF43C8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D6747CE4"/>
    <w:multiLevelType w:val="multilevel"/>
    <w:tmpl w:val="D6747CE4"/>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2">
    <w:nsid w:val="F4A0E5FF"/>
    <w:multiLevelType w:val="singleLevel"/>
    <w:tmpl w:val="F4A0E5FF"/>
    <w:lvl w:ilvl="0" w:tentative="0">
      <w:start w:val="1"/>
      <w:numFmt w:val="decimal"/>
      <w:suff w:val="space"/>
      <w:lvlText w:val="[%1]"/>
      <w:lvlJc w:val="left"/>
    </w:lvl>
  </w:abstractNum>
  <w:abstractNum w:abstractNumId="3">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4">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298C0ABA"/>
    <w:multiLevelType w:val="multilevel"/>
    <w:tmpl w:val="298C0ABA"/>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6">
    <w:nsid w:val="2EA0014A"/>
    <w:multiLevelType w:val="multilevel"/>
    <w:tmpl w:val="2EA0014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7">
    <w:nsid w:val="4C449B9F"/>
    <w:multiLevelType w:val="singleLevel"/>
    <w:tmpl w:val="4C449B9F"/>
    <w:lvl w:ilvl="0" w:tentative="0">
      <w:start w:val="1"/>
      <w:numFmt w:val="bullet"/>
      <w:lvlText w:val=""/>
      <w:lvlJc w:val="left"/>
      <w:pPr>
        <w:ind w:left="420" w:hanging="420"/>
      </w:pPr>
      <w:rPr>
        <w:rFonts w:hint="default" w:ascii="Wingdings" w:hAnsi="Wingdings"/>
      </w:rPr>
    </w:lvl>
  </w:abstractNum>
  <w:abstractNum w:abstractNumId="8">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658209FF"/>
    <w:multiLevelType w:val="singleLevel"/>
    <w:tmpl w:val="658209FF"/>
    <w:lvl w:ilvl="0" w:tentative="0">
      <w:start w:val="1"/>
      <w:numFmt w:val="bullet"/>
      <w:lvlText w:val=""/>
      <w:lvlJc w:val="left"/>
      <w:pPr>
        <w:ind w:left="420" w:hanging="420"/>
      </w:pPr>
      <w:rPr>
        <w:rFonts w:hint="default" w:ascii="Wingdings" w:hAnsi="Wingdings"/>
      </w:rPr>
    </w:lvl>
  </w:abstractNum>
  <w:num w:numId="1">
    <w:abstractNumId w:val="3"/>
  </w:num>
  <w:num w:numId="2">
    <w:abstractNumId w:val="8"/>
  </w:num>
  <w:num w:numId="3">
    <w:abstractNumId w:val="4"/>
  </w:num>
  <w:num w:numId="4">
    <w:abstractNumId w:val="5"/>
  </w:num>
  <w:num w:numId="5">
    <w:abstractNumId w:val="6"/>
  </w:num>
  <w:num w:numId="6">
    <w:abstractNumId w:val="9"/>
  </w:num>
  <w:num w:numId="7">
    <w:abstractNumId w:val="1"/>
  </w:num>
  <w:num w:numId="8">
    <w:abstractNumId w:val="0"/>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04"/>
    <w:rsid w:val="000003CF"/>
    <w:rsid w:val="00001366"/>
    <w:rsid w:val="0000152F"/>
    <w:rsid w:val="00001D3F"/>
    <w:rsid w:val="00001D6A"/>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2B43"/>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603D6"/>
    <w:rsid w:val="00061D51"/>
    <w:rsid w:val="0006281F"/>
    <w:rsid w:val="00062984"/>
    <w:rsid w:val="00063589"/>
    <w:rsid w:val="00067927"/>
    <w:rsid w:val="000700B4"/>
    <w:rsid w:val="00070597"/>
    <w:rsid w:val="0007093A"/>
    <w:rsid w:val="00071F15"/>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4CDF"/>
    <w:rsid w:val="000B54F8"/>
    <w:rsid w:val="000B65CB"/>
    <w:rsid w:val="000B6785"/>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40CF"/>
    <w:rsid w:val="000D6228"/>
    <w:rsid w:val="000D6D39"/>
    <w:rsid w:val="000E09FD"/>
    <w:rsid w:val="000E0C43"/>
    <w:rsid w:val="000E1125"/>
    <w:rsid w:val="000E1993"/>
    <w:rsid w:val="000E3B8A"/>
    <w:rsid w:val="000E5499"/>
    <w:rsid w:val="000E58FE"/>
    <w:rsid w:val="000E6390"/>
    <w:rsid w:val="000E7A4B"/>
    <w:rsid w:val="000F0022"/>
    <w:rsid w:val="000F07AC"/>
    <w:rsid w:val="000F0A7B"/>
    <w:rsid w:val="000F12EE"/>
    <w:rsid w:val="000F2856"/>
    <w:rsid w:val="000F2AD3"/>
    <w:rsid w:val="000F42FD"/>
    <w:rsid w:val="000F4CFF"/>
    <w:rsid w:val="000F561E"/>
    <w:rsid w:val="000F569B"/>
    <w:rsid w:val="000F7621"/>
    <w:rsid w:val="00100030"/>
    <w:rsid w:val="00101D29"/>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4F4"/>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1DA1"/>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C36"/>
    <w:rsid w:val="001E3D8C"/>
    <w:rsid w:val="001E43EF"/>
    <w:rsid w:val="001E44CD"/>
    <w:rsid w:val="001E6F40"/>
    <w:rsid w:val="001E7319"/>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4533"/>
    <w:rsid w:val="002153F9"/>
    <w:rsid w:val="002155FA"/>
    <w:rsid w:val="00217443"/>
    <w:rsid w:val="002176DE"/>
    <w:rsid w:val="00220834"/>
    <w:rsid w:val="00220B72"/>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5D4"/>
    <w:rsid w:val="00266CB2"/>
    <w:rsid w:val="002674F1"/>
    <w:rsid w:val="00267D0B"/>
    <w:rsid w:val="00270994"/>
    <w:rsid w:val="00270A1C"/>
    <w:rsid w:val="00270C0D"/>
    <w:rsid w:val="002714DF"/>
    <w:rsid w:val="002716E8"/>
    <w:rsid w:val="00271948"/>
    <w:rsid w:val="00271ED8"/>
    <w:rsid w:val="002724B9"/>
    <w:rsid w:val="002730ED"/>
    <w:rsid w:val="0027675D"/>
    <w:rsid w:val="00276768"/>
    <w:rsid w:val="0027683F"/>
    <w:rsid w:val="002801FB"/>
    <w:rsid w:val="00281030"/>
    <w:rsid w:val="00281718"/>
    <w:rsid w:val="00284052"/>
    <w:rsid w:val="00284D42"/>
    <w:rsid w:val="00284DD1"/>
    <w:rsid w:val="002854AD"/>
    <w:rsid w:val="002855D0"/>
    <w:rsid w:val="00285EBF"/>
    <w:rsid w:val="00286D9E"/>
    <w:rsid w:val="0029036D"/>
    <w:rsid w:val="00290E18"/>
    <w:rsid w:val="00291D54"/>
    <w:rsid w:val="00293A6E"/>
    <w:rsid w:val="00295507"/>
    <w:rsid w:val="00295842"/>
    <w:rsid w:val="00296302"/>
    <w:rsid w:val="00297A88"/>
    <w:rsid w:val="00297E40"/>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608E"/>
    <w:rsid w:val="002B6A62"/>
    <w:rsid w:val="002B6DB2"/>
    <w:rsid w:val="002B6DDC"/>
    <w:rsid w:val="002B73AE"/>
    <w:rsid w:val="002C0864"/>
    <w:rsid w:val="002C0F12"/>
    <w:rsid w:val="002C3FF4"/>
    <w:rsid w:val="002C4649"/>
    <w:rsid w:val="002C52F5"/>
    <w:rsid w:val="002C5A22"/>
    <w:rsid w:val="002C6291"/>
    <w:rsid w:val="002D00AA"/>
    <w:rsid w:val="002D037B"/>
    <w:rsid w:val="002D044D"/>
    <w:rsid w:val="002D0F0A"/>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264"/>
    <w:rsid w:val="00310544"/>
    <w:rsid w:val="003110B2"/>
    <w:rsid w:val="00311F3D"/>
    <w:rsid w:val="00312C1A"/>
    <w:rsid w:val="00312DD1"/>
    <w:rsid w:val="00313308"/>
    <w:rsid w:val="0031414B"/>
    <w:rsid w:val="00314283"/>
    <w:rsid w:val="003144CA"/>
    <w:rsid w:val="00315418"/>
    <w:rsid w:val="00316470"/>
    <w:rsid w:val="00316E20"/>
    <w:rsid w:val="003171FD"/>
    <w:rsid w:val="00321077"/>
    <w:rsid w:val="00321692"/>
    <w:rsid w:val="00322390"/>
    <w:rsid w:val="003228D4"/>
    <w:rsid w:val="00322E28"/>
    <w:rsid w:val="00322EDB"/>
    <w:rsid w:val="003248F8"/>
    <w:rsid w:val="0032533C"/>
    <w:rsid w:val="003268BB"/>
    <w:rsid w:val="003275E3"/>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40AAF"/>
    <w:rsid w:val="00340B00"/>
    <w:rsid w:val="00340F7E"/>
    <w:rsid w:val="00341C99"/>
    <w:rsid w:val="00341CF5"/>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150D"/>
    <w:rsid w:val="003A2A06"/>
    <w:rsid w:val="003A3ACC"/>
    <w:rsid w:val="003A4C78"/>
    <w:rsid w:val="003A5159"/>
    <w:rsid w:val="003A552B"/>
    <w:rsid w:val="003A6B26"/>
    <w:rsid w:val="003A71C8"/>
    <w:rsid w:val="003A77FA"/>
    <w:rsid w:val="003A7F66"/>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877"/>
    <w:rsid w:val="003D2B72"/>
    <w:rsid w:val="003D42C7"/>
    <w:rsid w:val="003D5DFB"/>
    <w:rsid w:val="003D5F27"/>
    <w:rsid w:val="003D62CC"/>
    <w:rsid w:val="003D6A5E"/>
    <w:rsid w:val="003D7035"/>
    <w:rsid w:val="003D770D"/>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8ED"/>
    <w:rsid w:val="004109CF"/>
    <w:rsid w:val="00411350"/>
    <w:rsid w:val="004123C0"/>
    <w:rsid w:val="00413229"/>
    <w:rsid w:val="00413D6F"/>
    <w:rsid w:val="00414C20"/>
    <w:rsid w:val="00415023"/>
    <w:rsid w:val="00416B5E"/>
    <w:rsid w:val="004175F0"/>
    <w:rsid w:val="00420F17"/>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3FC8"/>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5F7"/>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107E"/>
    <w:rsid w:val="0049176F"/>
    <w:rsid w:val="004918AD"/>
    <w:rsid w:val="00492EA5"/>
    <w:rsid w:val="00493247"/>
    <w:rsid w:val="00494AAD"/>
    <w:rsid w:val="00494FC0"/>
    <w:rsid w:val="004966BC"/>
    <w:rsid w:val="004A0053"/>
    <w:rsid w:val="004A1258"/>
    <w:rsid w:val="004A1837"/>
    <w:rsid w:val="004A2585"/>
    <w:rsid w:val="004A2687"/>
    <w:rsid w:val="004A402F"/>
    <w:rsid w:val="004A54C0"/>
    <w:rsid w:val="004A6230"/>
    <w:rsid w:val="004A7CAA"/>
    <w:rsid w:val="004B056D"/>
    <w:rsid w:val="004B10C0"/>
    <w:rsid w:val="004B12D7"/>
    <w:rsid w:val="004B2B05"/>
    <w:rsid w:val="004B2BBA"/>
    <w:rsid w:val="004B5502"/>
    <w:rsid w:val="004B6C86"/>
    <w:rsid w:val="004B71F4"/>
    <w:rsid w:val="004B74FE"/>
    <w:rsid w:val="004B76B6"/>
    <w:rsid w:val="004C0B5E"/>
    <w:rsid w:val="004C16C3"/>
    <w:rsid w:val="004C16F8"/>
    <w:rsid w:val="004C21FC"/>
    <w:rsid w:val="004C36B0"/>
    <w:rsid w:val="004C383B"/>
    <w:rsid w:val="004C42E2"/>
    <w:rsid w:val="004C6366"/>
    <w:rsid w:val="004C63EE"/>
    <w:rsid w:val="004C6C6D"/>
    <w:rsid w:val="004D042C"/>
    <w:rsid w:val="004D076F"/>
    <w:rsid w:val="004D1073"/>
    <w:rsid w:val="004D13A7"/>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CC0"/>
    <w:rsid w:val="004F46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5A8"/>
    <w:rsid w:val="005309BB"/>
    <w:rsid w:val="005339E6"/>
    <w:rsid w:val="00534869"/>
    <w:rsid w:val="00534F6A"/>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6D5"/>
    <w:rsid w:val="00545A04"/>
    <w:rsid w:val="00545A76"/>
    <w:rsid w:val="0054603A"/>
    <w:rsid w:val="00546957"/>
    <w:rsid w:val="00547409"/>
    <w:rsid w:val="0054755B"/>
    <w:rsid w:val="005506C7"/>
    <w:rsid w:val="00550E4D"/>
    <w:rsid w:val="005514AA"/>
    <w:rsid w:val="00551CB5"/>
    <w:rsid w:val="00553234"/>
    <w:rsid w:val="00553342"/>
    <w:rsid w:val="00553E9D"/>
    <w:rsid w:val="0055402E"/>
    <w:rsid w:val="005543B0"/>
    <w:rsid w:val="0055689F"/>
    <w:rsid w:val="00560225"/>
    <w:rsid w:val="00561349"/>
    <w:rsid w:val="005618C7"/>
    <w:rsid w:val="00562405"/>
    <w:rsid w:val="00562AF2"/>
    <w:rsid w:val="00565744"/>
    <w:rsid w:val="005657FC"/>
    <w:rsid w:val="00567054"/>
    <w:rsid w:val="005672C5"/>
    <w:rsid w:val="00567A4F"/>
    <w:rsid w:val="00567A9A"/>
    <w:rsid w:val="00570FEC"/>
    <w:rsid w:val="00571A8C"/>
    <w:rsid w:val="00571F06"/>
    <w:rsid w:val="00573328"/>
    <w:rsid w:val="0057377D"/>
    <w:rsid w:val="0057384A"/>
    <w:rsid w:val="00575E08"/>
    <w:rsid w:val="00576C2B"/>
    <w:rsid w:val="005824B8"/>
    <w:rsid w:val="00585E04"/>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1385"/>
    <w:rsid w:val="005A2661"/>
    <w:rsid w:val="005A3156"/>
    <w:rsid w:val="005A3AB2"/>
    <w:rsid w:val="005A53DF"/>
    <w:rsid w:val="005A60EB"/>
    <w:rsid w:val="005A6185"/>
    <w:rsid w:val="005B0334"/>
    <w:rsid w:val="005B052E"/>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3DA7"/>
    <w:rsid w:val="00635291"/>
    <w:rsid w:val="006357BD"/>
    <w:rsid w:val="00636BB2"/>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6CE6"/>
    <w:rsid w:val="00646F8A"/>
    <w:rsid w:val="006479E2"/>
    <w:rsid w:val="00647A5E"/>
    <w:rsid w:val="006503F8"/>
    <w:rsid w:val="00650BFB"/>
    <w:rsid w:val="00650D0F"/>
    <w:rsid w:val="00651856"/>
    <w:rsid w:val="006521E7"/>
    <w:rsid w:val="00652C4B"/>
    <w:rsid w:val="00652C98"/>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1FB"/>
    <w:rsid w:val="0069144C"/>
    <w:rsid w:val="0069161A"/>
    <w:rsid w:val="0069189C"/>
    <w:rsid w:val="00691E28"/>
    <w:rsid w:val="00694740"/>
    <w:rsid w:val="006954BD"/>
    <w:rsid w:val="00697138"/>
    <w:rsid w:val="0069757C"/>
    <w:rsid w:val="006978B2"/>
    <w:rsid w:val="00697DD7"/>
    <w:rsid w:val="006A187D"/>
    <w:rsid w:val="006A1D82"/>
    <w:rsid w:val="006A1EFA"/>
    <w:rsid w:val="006A247E"/>
    <w:rsid w:val="006A2689"/>
    <w:rsid w:val="006A451F"/>
    <w:rsid w:val="006A4D7D"/>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308A"/>
    <w:rsid w:val="006D4067"/>
    <w:rsid w:val="006D436D"/>
    <w:rsid w:val="006D4742"/>
    <w:rsid w:val="006D5430"/>
    <w:rsid w:val="006D614B"/>
    <w:rsid w:val="006D63EF"/>
    <w:rsid w:val="006D7C19"/>
    <w:rsid w:val="006D7CA8"/>
    <w:rsid w:val="006D7DC0"/>
    <w:rsid w:val="006E0220"/>
    <w:rsid w:val="006E0863"/>
    <w:rsid w:val="006E1867"/>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5EC6"/>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E83"/>
    <w:rsid w:val="00711E45"/>
    <w:rsid w:val="007131D1"/>
    <w:rsid w:val="0071582C"/>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063"/>
    <w:rsid w:val="0074088F"/>
    <w:rsid w:val="00741230"/>
    <w:rsid w:val="00742659"/>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686"/>
    <w:rsid w:val="00775B93"/>
    <w:rsid w:val="0077606C"/>
    <w:rsid w:val="007766F6"/>
    <w:rsid w:val="00776A65"/>
    <w:rsid w:val="00776AD0"/>
    <w:rsid w:val="00776F5E"/>
    <w:rsid w:val="007774DA"/>
    <w:rsid w:val="00780552"/>
    <w:rsid w:val="00780871"/>
    <w:rsid w:val="0078131F"/>
    <w:rsid w:val="007841C6"/>
    <w:rsid w:val="0078603B"/>
    <w:rsid w:val="0078657A"/>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49AF"/>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C74D0"/>
    <w:rsid w:val="007D1324"/>
    <w:rsid w:val="007D1769"/>
    <w:rsid w:val="007D2587"/>
    <w:rsid w:val="007D36F2"/>
    <w:rsid w:val="007D405E"/>
    <w:rsid w:val="007D4D85"/>
    <w:rsid w:val="007D5695"/>
    <w:rsid w:val="007D59EE"/>
    <w:rsid w:val="007D5A25"/>
    <w:rsid w:val="007E014C"/>
    <w:rsid w:val="007E0813"/>
    <w:rsid w:val="007E0BC6"/>
    <w:rsid w:val="007E0F24"/>
    <w:rsid w:val="007E14CD"/>
    <w:rsid w:val="007E17B1"/>
    <w:rsid w:val="007E27C0"/>
    <w:rsid w:val="007E2BFA"/>
    <w:rsid w:val="007E2EFD"/>
    <w:rsid w:val="007E417F"/>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5891"/>
    <w:rsid w:val="007F65F6"/>
    <w:rsid w:val="007F6A42"/>
    <w:rsid w:val="0080049C"/>
    <w:rsid w:val="008013CA"/>
    <w:rsid w:val="00802FB3"/>
    <w:rsid w:val="008032AF"/>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5BB0"/>
    <w:rsid w:val="00825D20"/>
    <w:rsid w:val="00826450"/>
    <w:rsid w:val="008267CB"/>
    <w:rsid w:val="00827512"/>
    <w:rsid w:val="00827DB0"/>
    <w:rsid w:val="00831EF0"/>
    <w:rsid w:val="00832285"/>
    <w:rsid w:val="008334C6"/>
    <w:rsid w:val="008341C0"/>
    <w:rsid w:val="008343B2"/>
    <w:rsid w:val="00834992"/>
    <w:rsid w:val="00834EA9"/>
    <w:rsid w:val="00835069"/>
    <w:rsid w:val="00835356"/>
    <w:rsid w:val="008360E6"/>
    <w:rsid w:val="00836D5A"/>
    <w:rsid w:val="0083795A"/>
    <w:rsid w:val="00837C2E"/>
    <w:rsid w:val="00837C9F"/>
    <w:rsid w:val="00842680"/>
    <w:rsid w:val="00842AA3"/>
    <w:rsid w:val="00843379"/>
    <w:rsid w:val="008436F0"/>
    <w:rsid w:val="00843DAA"/>
    <w:rsid w:val="00843F40"/>
    <w:rsid w:val="00845DB8"/>
    <w:rsid w:val="00845E4F"/>
    <w:rsid w:val="00846BE0"/>
    <w:rsid w:val="008470CC"/>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F40"/>
    <w:rsid w:val="008A7884"/>
    <w:rsid w:val="008B0715"/>
    <w:rsid w:val="008B08A1"/>
    <w:rsid w:val="008B0FDB"/>
    <w:rsid w:val="008B2AF7"/>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E04EC"/>
    <w:rsid w:val="008E0617"/>
    <w:rsid w:val="008E0985"/>
    <w:rsid w:val="008E16DE"/>
    <w:rsid w:val="008E17B2"/>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350F"/>
    <w:rsid w:val="008F4502"/>
    <w:rsid w:val="008F45D4"/>
    <w:rsid w:val="008F662A"/>
    <w:rsid w:val="00900370"/>
    <w:rsid w:val="00900911"/>
    <w:rsid w:val="00901680"/>
    <w:rsid w:val="00902833"/>
    <w:rsid w:val="009039E2"/>
    <w:rsid w:val="00904458"/>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8D1"/>
    <w:rsid w:val="00957A33"/>
    <w:rsid w:val="00957CC4"/>
    <w:rsid w:val="0096003B"/>
    <w:rsid w:val="0096053C"/>
    <w:rsid w:val="0096081E"/>
    <w:rsid w:val="00960F8E"/>
    <w:rsid w:val="0096137E"/>
    <w:rsid w:val="00961C60"/>
    <w:rsid w:val="00961E92"/>
    <w:rsid w:val="009624E6"/>
    <w:rsid w:val="0096444D"/>
    <w:rsid w:val="009647C5"/>
    <w:rsid w:val="00965C67"/>
    <w:rsid w:val="0096604F"/>
    <w:rsid w:val="00966280"/>
    <w:rsid w:val="009663C5"/>
    <w:rsid w:val="0096663C"/>
    <w:rsid w:val="00966709"/>
    <w:rsid w:val="0096684A"/>
    <w:rsid w:val="00966A0C"/>
    <w:rsid w:val="00971DDC"/>
    <w:rsid w:val="0097502F"/>
    <w:rsid w:val="009755AD"/>
    <w:rsid w:val="009757E0"/>
    <w:rsid w:val="00976D9D"/>
    <w:rsid w:val="0097718E"/>
    <w:rsid w:val="009778FC"/>
    <w:rsid w:val="009800B6"/>
    <w:rsid w:val="009809FF"/>
    <w:rsid w:val="00980CAA"/>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1CA8"/>
    <w:rsid w:val="009A2E11"/>
    <w:rsid w:val="009A32AC"/>
    <w:rsid w:val="009A3405"/>
    <w:rsid w:val="009A36C0"/>
    <w:rsid w:val="009A405A"/>
    <w:rsid w:val="009A4714"/>
    <w:rsid w:val="009A4C6F"/>
    <w:rsid w:val="009A5082"/>
    <w:rsid w:val="009A5185"/>
    <w:rsid w:val="009A618E"/>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D32"/>
    <w:rsid w:val="009D01B0"/>
    <w:rsid w:val="009D0BD2"/>
    <w:rsid w:val="009D159F"/>
    <w:rsid w:val="009D2687"/>
    <w:rsid w:val="009D2A16"/>
    <w:rsid w:val="009D2EA0"/>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42E6"/>
    <w:rsid w:val="009E619C"/>
    <w:rsid w:val="009E7020"/>
    <w:rsid w:val="009E7045"/>
    <w:rsid w:val="009E748B"/>
    <w:rsid w:val="009F012C"/>
    <w:rsid w:val="009F13FE"/>
    <w:rsid w:val="009F2244"/>
    <w:rsid w:val="009F2E2F"/>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37FF9"/>
    <w:rsid w:val="00A42910"/>
    <w:rsid w:val="00A4388D"/>
    <w:rsid w:val="00A44BE1"/>
    <w:rsid w:val="00A44C3B"/>
    <w:rsid w:val="00A44DE3"/>
    <w:rsid w:val="00A4500D"/>
    <w:rsid w:val="00A456C9"/>
    <w:rsid w:val="00A504A8"/>
    <w:rsid w:val="00A529EC"/>
    <w:rsid w:val="00A533D7"/>
    <w:rsid w:val="00A53911"/>
    <w:rsid w:val="00A53DD7"/>
    <w:rsid w:val="00A542B8"/>
    <w:rsid w:val="00A54719"/>
    <w:rsid w:val="00A54BC0"/>
    <w:rsid w:val="00A5576E"/>
    <w:rsid w:val="00A56B27"/>
    <w:rsid w:val="00A5709E"/>
    <w:rsid w:val="00A57120"/>
    <w:rsid w:val="00A57123"/>
    <w:rsid w:val="00A5714F"/>
    <w:rsid w:val="00A6046D"/>
    <w:rsid w:val="00A6050B"/>
    <w:rsid w:val="00A612B9"/>
    <w:rsid w:val="00A624EA"/>
    <w:rsid w:val="00A63ABE"/>
    <w:rsid w:val="00A64DE1"/>
    <w:rsid w:val="00A6585A"/>
    <w:rsid w:val="00A66029"/>
    <w:rsid w:val="00A6657C"/>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616"/>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A7BF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A96"/>
    <w:rsid w:val="00AC1036"/>
    <w:rsid w:val="00AC1876"/>
    <w:rsid w:val="00AC1E06"/>
    <w:rsid w:val="00AC1FEF"/>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507E"/>
    <w:rsid w:val="00AF6B3A"/>
    <w:rsid w:val="00AF6EDF"/>
    <w:rsid w:val="00AF6F39"/>
    <w:rsid w:val="00AF72E9"/>
    <w:rsid w:val="00AF7672"/>
    <w:rsid w:val="00AF7EEF"/>
    <w:rsid w:val="00B002E0"/>
    <w:rsid w:val="00B0053F"/>
    <w:rsid w:val="00B0132A"/>
    <w:rsid w:val="00B017B3"/>
    <w:rsid w:val="00B029C1"/>
    <w:rsid w:val="00B0481B"/>
    <w:rsid w:val="00B0596A"/>
    <w:rsid w:val="00B06B5F"/>
    <w:rsid w:val="00B07968"/>
    <w:rsid w:val="00B07B19"/>
    <w:rsid w:val="00B10FBA"/>
    <w:rsid w:val="00B110E2"/>
    <w:rsid w:val="00B1189C"/>
    <w:rsid w:val="00B12666"/>
    <w:rsid w:val="00B126DA"/>
    <w:rsid w:val="00B1296D"/>
    <w:rsid w:val="00B15903"/>
    <w:rsid w:val="00B166C8"/>
    <w:rsid w:val="00B20064"/>
    <w:rsid w:val="00B20DDC"/>
    <w:rsid w:val="00B21171"/>
    <w:rsid w:val="00B23604"/>
    <w:rsid w:val="00B23F42"/>
    <w:rsid w:val="00B243E6"/>
    <w:rsid w:val="00B24BF2"/>
    <w:rsid w:val="00B24C41"/>
    <w:rsid w:val="00B252A5"/>
    <w:rsid w:val="00B2566A"/>
    <w:rsid w:val="00B2704A"/>
    <w:rsid w:val="00B31C88"/>
    <w:rsid w:val="00B31ED1"/>
    <w:rsid w:val="00B32C18"/>
    <w:rsid w:val="00B35769"/>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0C22"/>
    <w:rsid w:val="00B615E7"/>
    <w:rsid w:val="00B61C12"/>
    <w:rsid w:val="00B6271A"/>
    <w:rsid w:val="00B6394A"/>
    <w:rsid w:val="00B6403B"/>
    <w:rsid w:val="00B64ABB"/>
    <w:rsid w:val="00B65BF6"/>
    <w:rsid w:val="00B66A64"/>
    <w:rsid w:val="00B66F1C"/>
    <w:rsid w:val="00B670CE"/>
    <w:rsid w:val="00B67B79"/>
    <w:rsid w:val="00B67E74"/>
    <w:rsid w:val="00B70262"/>
    <w:rsid w:val="00B716F8"/>
    <w:rsid w:val="00B7192C"/>
    <w:rsid w:val="00B72319"/>
    <w:rsid w:val="00B72EF4"/>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2A1C"/>
    <w:rsid w:val="00BE3213"/>
    <w:rsid w:val="00BE3D57"/>
    <w:rsid w:val="00BE42CB"/>
    <w:rsid w:val="00BE6162"/>
    <w:rsid w:val="00BE6C9C"/>
    <w:rsid w:val="00BE6E9E"/>
    <w:rsid w:val="00BE6FC3"/>
    <w:rsid w:val="00BF0409"/>
    <w:rsid w:val="00BF0497"/>
    <w:rsid w:val="00BF0850"/>
    <w:rsid w:val="00BF08F6"/>
    <w:rsid w:val="00BF092B"/>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6DB9"/>
    <w:rsid w:val="00C5767A"/>
    <w:rsid w:val="00C60064"/>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116B"/>
    <w:rsid w:val="00C82D97"/>
    <w:rsid w:val="00C83318"/>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2D1"/>
    <w:rsid w:val="00CD5A36"/>
    <w:rsid w:val="00CD7E62"/>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6659"/>
    <w:rsid w:val="00D0699D"/>
    <w:rsid w:val="00D06F15"/>
    <w:rsid w:val="00D076EF"/>
    <w:rsid w:val="00D10935"/>
    <w:rsid w:val="00D11A95"/>
    <w:rsid w:val="00D1313F"/>
    <w:rsid w:val="00D1362E"/>
    <w:rsid w:val="00D1447E"/>
    <w:rsid w:val="00D144E7"/>
    <w:rsid w:val="00D164B7"/>
    <w:rsid w:val="00D16D47"/>
    <w:rsid w:val="00D1747A"/>
    <w:rsid w:val="00D179A5"/>
    <w:rsid w:val="00D205D0"/>
    <w:rsid w:val="00D20B7D"/>
    <w:rsid w:val="00D20D1C"/>
    <w:rsid w:val="00D21306"/>
    <w:rsid w:val="00D2151A"/>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3F75"/>
    <w:rsid w:val="00D45E14"/>
    <w:rsid w:val="00D4755C"/>
    <w:rsid w:val="00D50B0D"/>
    <w:rsid w:val="00D5146F"/>
    <w:rsid w:val="00D52230"/>
    <w:rsid w:val="00D52834"/>
    <w:rsid w:val="00D5299E"/>
    <w:rsid w:val="00D52E19"/>
    <w:rsid w:val="00D53782"/>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299"/>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12AB"/>
    <w:rsid w:val="00DA14B6"/>
    <w:rsid w:val="00DA172D"/>
    <w:rsid w:val="00DA1C36"/>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E05A6"/>
    <w:rsid w:val="00DE15AA"/>
    <w:rsid w:val="00DE1B4A"/>
    <w:rsid w:val="00DE2CFF"/>
    <w:rsid w:val="00DE2F19"/>
    <w:rsid w:val="00DE3330"/>
    <w:rsid w:val="00DE38A4"/>
    <w:rsid w:val="00DE3AB1"/>
    <w:rsid w:val="00DE50FA"/>
    <w:rsid w:val="00DE5939"/>
    <w:rsid w:val="00DE6148"/>
    <w:rsid w:val="00DE6170"/>
    <w:rsid w:val="00DE6A3B"/>
    <w:rsid w:val="00DE7478"/>
    <w:rsid w:val="00DF1FCE"/>
    <w:rsid w:val="00DF2709"/>
    <w:rsid w:val="00DF2CBF"/>
    <w:rsid w:val="00DF3BA1"/>
    <w:rsid w:val="00DF3CCE"/>
    <w:rsid w:val="00DF3FDD"/>
    <w:rsid w:val="00DF4CBC"/>
    <w:rsid w:val="00DF5370"/>
    <w:rsid w:val="00DF597F"/>
    <w:rsid w:val="00DF5E74"/>
    <w:rsid w:val="00DF6452"/>
    <w:rsid w:val="00DF6682"/>
    <w:rsid w:val="00DF6CC6"/>
    <w:rsid w:val="00DF7DED"/>
    <w:rsid w:val="00E0032E"/>
    <w:rsid w:val="00E0074D"/>
    <w:rsid w:val="00E007CD"/>
    <w:rsid w:val="00E0205D"/>
    <w:rsid w:val="00E03B13"/>
    <w:rsid w:val="00E03BE1"/>
    <w:rsid w:val="00E04060"/>
    <w:rsid w:val="00E0458A"/>
    <w:rsid w:val="00E048C6"/>
    <w:rsid w:val="00E06B20"/>
    <w:rsid w:val="00E0737F"/>
    <w:rsid w:val="00E1018A"/>
    <w:rsid w:val="00E10C7D"/>
    <w:rsid w:val="00E1155D"/>
    <w:rsid w:val="00E120F4"/>
    <w:rsid w:val="00E121B5"/>
    <w:rsid w:val="00E1226F"/>
    <w:rsid w:val="00E125F6"/>
    <w:rsid w:val="00E127C3"/>
    <w:rsid w:val="00E14C1A"/>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6375"/>
    <w:rsid w:val="00E4013C"/>
    <w:rsid w:val="00E40D48"/>
    <w:rsid w:val="00E40DBF"/>
    <w:rsid w:val="00E42A45"/>
    <w:rsid w:val="00E42C98"/>
    <w:rsid w:val="00E43798"/>
    <w:rsid w:val="00E43842"/>
    <w:rsid w:val="00E4599A"/>
    <w:rsid w:val="00E465D2"/>
    <w:rsid w:val="00E468CA"/>
    <w:rsid w:val="00E473B4"/>
    <w:rsid w:val="00E47CAE"/>
    <w:rsid w:val="00E47D3F"/>
    <w:rsid w:val="00E47FCE"/>
    <w:rsid w:val="00E521EE"/>
    <w:rsid w:val="00E526AB"/>
    <w:rsid w:val="00E55F53"/>
    <w:rsid w:val="00E56491"/>
    <w:rsid w:val="00E5756F"/>
    <w:rsid w:val="00E601F7"/>
    <w:rsid w:val="00E60595"/>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06D5"/>
    <w:rsid w:val="00EC1D1E"/>
    <w:rsid w:val="00EC201F"/>
    <w:rsid w:val="00EC40E3"/>
    <w:rsid w:val="00EC465B"/>
    <w:rsid w:val="00EC46C5"/>
    <w:rsid w:val="00EC516D"/>
    <w:rsid w:val="00EC5A04"/>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1335"/>
    <w:rsid w:val="00EF1557"/>
    <w:rsid w:val="00EF4AE0"/>
    <w:rsid w:val="00EF4FE8"/>
    <w:rsid w:val="00EF62C3"/>
    <w:rsid w:val="00EF6AB2"/>
    <w:rsid w:val="00EF6B48"/>
    <w:rsid w:val="00EF6BBA"/>
    <w:rsid w:val="00EF6FA1"/>
    <w:rsid w:val="00F0040F"/>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18B3"/>
    <w:rsid w:val="00F429C0"/>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DF3"/>
    <w:rsid w:val="00F67115"/>
    <w:rsid w:val="00F67AB2"/>
    <w:rsid w:val="00F7357E"/>
    <w:rsid w:val="00F73666"/>
    <w:rsid w:val="00F73D21"/>
    <w:rsid w:val="00F74DF5"/>
    <w:rsid w:val="00F74ED0"/>
    <w:rsid w:val="00F759D4"/>
    <w:rsid w:val="00F75B44"/>
    <w:rsid w:val="00F76E39"/>
    <w:rsid w:val="00F81DB2"/>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AE0"/>
    <w:rsid w:val="00F96BAD"/>
    <w:rsid w:val="00F96C66"/>
    <w:rsid w:val="00F971E1"/>
    <w:rsid w:val="00F97D27"/>
    <w:rsid w:val="00FA20BF"/>
    <w:rsid w:val="00FA2F06"/>
    <w:rsid w:val="00FA34B5"/>
    <w:rsid w:val="00FA4FB5"/>
    <w:rsid w:val="00FA532D"/>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E69"/>
    <w:rsid w:val="00FD56B9"/>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8F5EFA"/>
    <w:rsid w:val="019B3BDF"/>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3B3250"/>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65039"/>
    <w:rsid w:val="034F6376"/>
    <w:rsid w:val="0392525D"/>
    <w:rsid w:val="039F12E8"/>
    <w:rsid w:val="03A13769"/>
    <w:rsid w:val="03A20738"/>
    <w:rsid w:val="03A86A6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5C49F4"/>
    <w:rsid w:val="046C5804"/>
    <w:rsid w:val="04746FED"/>
    <w:rsid w:val="047C0DC1"/>
    <w:rsid w:val="047E4A8F"/>
    <w:rsid w:val="04865192"/>
    <w:rsid w:val="04866606"/>
    <w:rsid w:val="048E11A9"/>
    <w:rsid w:val="0496225D"/>
    <w:rsid w:val="04974A16"/>
    <w:rsid w:val="049D670D"/>
    <w:rsid w:val="049F212F"/>
    <w:rsid w:val="04AA0003"/>
    <w:rsid w:val="04AC1919"/>
    <w:rsid w:val="04AC41F8"/>
    <w:rsid w:val="04B717CC"/>
    <w:rsid w:val="04BC0666"/>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DE3187"/>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0B6335"/>
    <w:rsid w:val="07125F5D"/>
    <w:rsid w:val="07271B20"/>
    <w:rsid w:val="073A2A17"/>
    <w:rsid w:val="073F68CF"/>
    <w:rsid w:val="074C6E68"/>
    <w:rsid w:val="07543A71"/>
    <w:rsid w:val="07586160"/>
    <w:rsid w:val="075D32E6"/>
    <w:rsid w:val="07704988"/>
    <w:rsid w:val="07741673"/>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7FA41FC"/>
    <w:rsid w:val="08141163"/>
    <w:rsid w:val="08242518"/>
    <w:rsid w:val="08290E07"/>
    <w:rsid w:val="0837693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361908"/>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A15A3"/>
    <w:rsid w:val="0B5B432B"/>
    <w:rsid w:val="0B6058A7"/>
    <w:rsid w:val="0B704389"/>
    <w:rsid w:val="0B757FBB"/>
    <w:rsid w:val="0B8311F4"/>
    <w:rsid w:val="0B8B13F4"/>
    <w:rsid w:val="0B934CA5"/>
    <w:rsid w:val="0B94771A"/>
    <w:rsid w:val="0BA3062A"/>
    <w:rsid w:val="0BE004CF"/>
    <w:rsid w:val="0BE120C4"/>
    <w:rsid w:val="0BE57B4E"/>
    <w:rsid w:val="0BEA7F8A"/>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E7524"/>
    <w:rsid w:val="0E734461"/>
    <w:rsid w:val="0E927861"/>
    <w:rsid w:val="0EA04D7B"/>
    <w:rsid w:val="0EA4482A"/>
    <w:rsid w:val="0EA926E0"/>
    <w:rsid w:val="0EB467CA"/>
    <w:rsid w:val="0EC132D7"/>
    <w:rsid w:val="0EC572E7"/>
    <w:rsid w:val="0ECD33DF"/>
    <w:rsid w:val="0EDC3297"/>
    <w:rsid w:val="0EE22D51"/>
    <w:rsid w:val="0EE700B0"/>
    <w:rsid w:val="0F07184E"/>
    <w:rsid w:val="0F0939B9"/>
    <w:rsid w:val="0F0E6CDB"/>
    <w:rsid w:val="0F2C59E9"/>
    <w:rsid w:val="0F3A2C70"/>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C53E40"/>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5120A"/>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C0194"/>
    <w:rsid w:val="10FE02D8"/>
    <w:rsid w:val="110C7CEA"/>
    <w:rsid w:val="110F2DD6"/>
    <w:rsid w:val="111202D6"/>
    <w:rsid w:val="111E737C"/>
    <w:rsid w:val="112070BC"/>
    <w:rsid w:val="11334554"/>
    <w:rsid w:val="11442663"/>
    <w:rsid w:val="11445096"/>
    <w:rsid w:val="114A0C38"/>
    <w:rsid w:val="114C7F4B"/>
    <w:rsid w:val="118D3FE6"/>
    <w:rsid w:val="11903C21"/>
    <w:rsid w:val="11947738"/>
    <w:rsid w:val="11A35BC7"/>
    <w:rsid w:val="11B317D2"/>
    <w:rsid w:val="11D1452D"/>
    <w:rsid w:val="11D55F5C"/>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32FB5"/>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5C6348"/>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C2250C"/>
    <w:rsid w:val="14C8749C"/>
    <w:rsid w:val="14D969A6"/>
    <w:rsid w:val="14E306F6"/>
    <w:rsid w:val="14E61747"/>
    <w:rsid w:val="14E73F02"/>
    <w:rsid w:val="1502097B"/>
    <w:rsid w:val="15337D09"/>
    <w:rsid w:val="153C211B"/>
    <w:rsid w:val="153C7063"/>
    <w:rsid w:val="15513899"/>
    <w:rsid w:val="155D0A7F"/>
    <w:rsid w:val="15684240"/>
    <w:rsid w:val="156F1C12"/>
    <w:rsid w:val="15784F72"/>
    <w:rsid w:val="1580763A"/>
    <w:rsid w:val="1586427B"/>
    <w:rsid w:val="15967E8D"/>
    <w:rsid w:val="159A07D2"/>
    <w:rsid w:val="159C63AC"/>
    <w:rsid w:val="15AA7739"/>
    <w:rsid w:val="15B82FBA"/>
    <w:rsid w:val="15BC4B29"/>
    <w:rsid w:val="15BE1C46"/>
    <w:rsid w:val="15C06260"/>
    <w:rsid w:val="15CA0DC6"/>
    <w:rsid w:val="15DD4A1C"/>
    <w:rsid w:val="15E90584"/>
    <w:rsid w:val="160321ED"/>
    <w:rsid w:val="160A0813"/>
    <w:rsid w:val="16263368"/>
    <w:rsid w:val="163103EC"/>
    <w:rsid w:val="163E496F"/>
    <w:rsid w:val="16401FC7"/>
    <w:rsid w:val="16597670"/>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D764F"/>
    <w:rsid w:val="17EF3376"/>
    <w:rsid w:val="17F041E6"/>
    <w:rsid w:val="17F5084F"/>
    <w:rsid w:val="180B1BB2"/>
    <w:rsid w:val="18116B35"/>
    <w:rsid w:val="181578CA"/>
    <w:rsid w:val="183653D1"/>
    <w:rsid w:val="18425D8C"/>
    <w:rsid w:val="18440068"/>
    <w:rsid w:val="18502972"/>
    <w:rsid w:val="185159AA"/>
    <w:rsid w:val="18697E60"/>
    <w:rsid w:val="1873107B"/>
    <w:rsid w:val="1875497B"/>
    <w:rsid w:val="187C2675"/>
    <w:rsid w:val="188C3829"/>
    <w:rsid w:val="18A5771F"/>
    <w:rsid w:val="18AF74E1"/>
    <w:rsid w:val="18B12432"/>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BD2271"/>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917C2C"/>
    <w:rsid w:val="1A920C4A"/>
    <w:rsid w:val="1AA91D4F"/>
    <w:rsid w:val="1AB14FC0"/>
    <w:rsid w:val="1AB203D4"/>
    <w:rsid w:val="1AB77836"/>
    <w:rsid w:val="1AC94D1F"/>
    <w:rsid w:val="1ACE7057"/>
    <w:rsid w:val="1AD6153D"/>
    <w:rsid w:val="1ADA55B5"/>
    <w:rsid w:val="1ADC1643"/>
    <w:rsid w:val="1ADF0AC1"/>
    <w:rsid w:val="1AED219F"/>
    <w:rsid w:val="1AED2C11"/>
    <w:rsid w:val="1AF03D83"/>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C03368C"/>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A732CA"/>
    <w:rsid w:val="1FB57415"/>
    <w:rsid w:val="1FBE768E"/>
    <w:rsid w:val="1FD033CC"/>
    <w:rsid w:val="1FD072CB"/>
    <w:rsid w:val="1FD2336A"/>
    <w:rsid w:val="1FD446A7"/>
    <w:rsid w:val="1FD81AFC"/>
    <w:rsid w:val="1FE31889"/>
    <w:rsid w:val="1FE761B1"/>
    <w:rsid w:val="1FF92454"/>
    <w:rsid w:val="200F4543"/>
    <w:rsid w:val="201E0C4E"/>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8C2174"/>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4F005B"/>
    <w:rsid w:val="22550062"/>
    <w:rsid w:val="2255406C"/>
    <w:rsid w:val="22562A37"/>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3F2753E"/>
    <w:rsid w:val="240B1BA7"/>
    <w:rsid w:val="241B3778"/>
    <w:rsid w:val="242244CF"/>
    <w:rsid w:val="242E7C25"/>
    <w:rsid w:val="243A6DF4"/>
    <w:rsid w:val="244B4209"/>
    <w:rsid w:val="24560AE2"/>
    <w:rsid w:val="24671C47"/>
    <w:rsid w:val="24794836"/>
    <w:rsid w:val="248C391F"/>
    <w:rsid w:val="249700EF"/>
    <w:rsid w:val="24996D32"/>
    <w:rsid w:val="24AF0519"/>
    <w:rsid w:val="24BC444C"/>
    <w:rsid w:val="24C16FF5"/>
    <w:rsid w:val="24D21B16"/>
    <w:rsid w:val="24EB0386"/>
    <w:rsid w:val="24EE205A"/>
    <w:rsid w:val="24FE54BC"/>
    <w:rsid w:val="25005E1F"/>
    <w:rsid w:val="2502385F"/>
    <w:rsid w:val="25031E33"/>
    <w:rsid w:val="25066118"/>
    <w:rsid w:val="250B6210"/>
    <w:rsid w:val="25132546"/>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DC5B4C"/>
    <w:rsid w:val="25E242BB"/>
    <w:rsid w:val="25E31A54"/>
    <w:rsid w:val="25E540FF"/>
    <w:rsid w:val="25E93B02"/>
    <w:rsid w:val="25EB3B02"/>
    <w:rsid w:val="25F07927"/>
    <w:rsid w:val="25F629AF"/>
    <w:rsid w:val="25F8089C"/>
    <w:rsid w:val="25FE3FFD"/>
    <w:rsid w:val="260354A1"/>
    <w:rsid w:val="260A2AFA"/>
    <w:rsid w:val="261747CB"/>
    <w:rsid w:val="26186461"/>
    <w:rsid w:val="2620186D"/>
    <w:rsid w:val="262162F5"/>
    <w:rsid w:val="262466CD"/>
    <w:rsid w:val="264E4C7F"/>
    <w:rsid w:val="26533224"/>
    <w:rsid w:val="26541061"/>
    <w:rsid w:val="265E494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7F469FF"/>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001A0"/>
    <w:rsid w:val="29AC7F64"/>
    <w:rsid w:val="29B025A4"/>
    <w:rsid w:val="29B223D3"/>
    <w:rsid w:val="29B5714B"/>
    <w:rsid w:val="29B82AFC"/>
    <w:rsid w:val="29CA6918"/>
    <w:rsid w:val="29CD5CFE"/>
    <w:rsid w:val="29DC6F28"/>
    <w:rsid w:val="29F101FE"/>
    <w:rsid w:val="29F83E3A"/>
    <w:rsid w:val="29FC0A34"/>
    <w:rsid w:val="2A065B82"/>
    <w:rsid w:val="2A132AC9"/>
    <w:rsid w:val="2A16029F"/>
    <w:rsid w:val="2A256BD4"/>
    <w:rsid w:val="2A460495"/>
    <w:rsid w:val="2A507960"/>
    <w:rsid w:val="2A542476"/>
    <w:rsid w:val="2A572019"/>
    <w:rsid w:val="2A606A48"/>
    <w:rsid w:val="2A653A90"/>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C2EE3"/>
    <w:rsid w:val="2B3F420A"/>
    <w:rsid w:val="2B450B15"/>
    <w:rsid w:val="2B4A3494"/>
    <w:rsid w:val="2B4D5A99"/>
    <w:rsid w:val="2B4E405F"/>
    <w:rsid w:val="2B510311"/>
    <w:rsid w:val="2B593E95"/>
    <w:rsid w:val="2B5A4189"/>
    <w:rsid w:val="2B5D3ED4"/>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5D4A64"/>
    <w:rsid w:val="2D696E27"/>
    <w:rsid w:val="2D90109D"/>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C47DBD"/>
    <w:rsid w:val="2ED237F3"/>
    <w:rsid w:val="2ED32DFF"/>
    <w:rsid w:val="2EE83A34"/>
    <w:rsid w:val="2EFE23E9"/>
    <w:rsid w:val="2F0C4C2A"/>
    <w:rsid w:val="2F0F563F"/>
    <w:rsid w:val="2F144960"/>
    <w:rsid w:val="2F1519D6"/>
    <w:rsid w:val="2F170C0F"/>
    <w:rsid w:val="2F1F3A4D"/>
    <w:rsid w:val="2F2B0AB4"/>
    <w:rsid w:val="2F2B4668"/>
    <w:rsid w:val="2F3E0C12"/>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F7499F"/>
    <w:rsid w:val="300A43D0"/>
    <w:rsid w:val="301537C5"/>
    <w:rsid w:val="30185978"/>
    <w:rsid w:val="30264A9E"/>
    <w:rsid w:val="302E6167"/>
    <w:rsid w:val="303C26DA"/>
    <w:rsid w:val="303C3B19"/>
    <w:rsid w:val="304F4F89"/>
    <w:rsid w:val="305F515E"/>
    <w:rsid w:val="30663002"/>
    <w:rsid w:val="306E0AD2"/>
    <w:rsid w:val="30761134"/>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6B23DB"/>
    <w:rsid w:val="3173104B"/>
    <w:rsid w:val="317D6B35"/>
    <w:rsid w:val="31902AB1"/>
    <w:rsid w:val="319D0930"/>
    <w:rsid w:val="31A30319"/>
    <w:rsid w:val="31A6662C"/>
    <w:rsid w:val="31B50898"/>
    <w:rsid w:val="31B50F9D"/>
    <w:rsid w:val="31B62FDB"/>
    <w:rsid w:val="31BA2482"/>
    <w:rsid w:val="31BE47CA"/>
    <w:rsid w:val="31D01CA2"/>
    <w:rsid w:val="31D45DBB"/>
    <w:rsid w:val="31DF176C"/>
    <w:rsid w:val="31E8134E"/>
    <w:rsid w:val="31F45A41"/>
    <w:rsid w:val="31FF4B7E"/>
    <w:rsid w:val="320A13F1"/>
    <w:rsid w:val="3211002E"/>
    <w:rsid w:val="322914C7"/>
    <w:rsid w:val="323A5F58"/>
    <w:rsid w:val="3246575B"/>
    <w:rsid w:val="32774B5E"/>
    <w:rsid w:val="328209B0"/>
    <w:rsid w:val="32955496"/>
    <w:rsid w:val="32983099"/>
    <w:rsid w:val="329C2838"/>
    <w:rsid w:val="32AA5592"/>
    <w:rsid w:val="32AD61A5"/>
    <w:rsid w:val="32B510EA"/>
    <w:rsid w:val="32B51B69"/>
    <w:rsid w:val="32D72997"/>
    <w:rsid w:val="32D74397"/>
    <w:rsid w:val="32E46B67"/>
    <w:rsid w:val="32E75DA8"/>
    <w:rsid w:val="32F653C3"/>
    <w:rsid w:val="33052E5A"/>
    <w:rsid w:val="330E07F5"/>
    <w:rsid w:val="331D26C8"/>
    <w:rsid w:val="331F570A"/>
    <w:rsid w:val="332610BF"/>
    <w:rsid w:val="33405B07"/>
    <w:rsid w:val="334172D7"/>
    <w:rsid w:val="334670A3"/>
    <w:rsid w:val="335057A3"/>
    <w:rsid w:val="335D1100"/>
    <w:rsid w:val="33632FAB"/>
    <w:rsid w:val="33777FA7"/>
    <w:rsid w:val="337C27BA"/>
    <w:rsid w:val="33801F6E"/>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4C6F16"/>
    <w:rsid w:val="346C064E"/>
    <w:rsid w:val="346C77B6"/>
    <w:rsid w:val="34717DC6"/>
    <w:rsid w:val="347C176C"/>
    <w:rsid w:val="3487701B"/>
    <w:rsid w:val="349738A7"/>
    <w:rsid w:val="34A55B39"/>
    <w:rsid w:val="34A96C6F"/>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C67CEC"/>
    <w:rsid w:val="37D1690E"/>
    <w:rsid w:val="37E474EC"/>
    <w:rsid w:val="37E93735"/>
    <w:rsid w:val="37F47C83"/>
    <w:rsid w:val="37FC4441"/>
    <w:rsid w:val="37FF7782"/>
    <w:rsid w:val="380C507F"/>
    <w:rsid w:val="381C5DA5"/>
    <w:rsid w:val="381E6D24"/>
    <w:rsid w:val="381E7251"/>
    <w:rsid w:val="382A53D5"/>
    <w:rsid w:val="383652ED"/>
    <w:rsid w:val="38415702"/>
    <w:rsid w:val="385701A2"/>
    <w:rsid w:val="386844B4"/>
    <w:rsid w:val="386900A2"/>
    <w:rsid w:val="3871367D"/>
    <w:rsid w:val="38802637"/>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57E30"/>
    <w:rsid w:val="3A19437E"/>
    <w:rsid w:val="3A1E2183"/>
    <w:rsid w:val="3A243389"/>
    <w:rsid w:val="3A262671"/>
    <w:rsid w:val="3A29061F"/>
    <w:rsid w:val="3A3A0854"/>
    <w:rsid w:val="3A45141A"/>
    <w:rsid w:val="3A4A6214"/>
    <w:rsid w:val="3A4E4899"/>
    <w:rsid w:val="3A5441E7"/>
    <w:rsid w:val="3A60074E"/>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80BB2"/>
    <w:rsid w:val="3B1A2AEE"/>
    <w:rsid w:val="3B1D50E8"/>
    <w:rsid w:val="3B2576D0"/>
    <w:rsid w:val="3B2862CD"/>
    <w:rsid w:val="3B3614CA"/>
    <w:rsid w:val="3B3E5A4F"/>
    <w:rsid w:val="3B43612D"/>
    <w:rsid w:val="3B465AAD"/>
    <w:rsid w:val="3B501B37"/>
    <w:rsid w:val="3B5D787A"/>
    <w:rsid w:val="3B5F1D0C"/>
    <w:rsid w:val="3B633B39"/>
    <w:rsid w:val="3B6C183F"/>
    <w:rsid w:val="3B716826"/>
    <w:rsid w:val="3B82605A"/>
    <w:rsid w:val="3B8643FB"/>
    <w:rsid w:val="3B865400"/>
    <w:rsid w:val="3B8C3C14"/>
    <w:rsid w:val="3B9A6870"/>
    <w:rsid w:val="3B9C0635"/>
    <w:rsid w:val="3B9C5849"/>
    <w:rsid w:val="3BA87780"/>
    <w:rsid w:val="3BAF72C4"/>
    <w:rsid w:val="3BB11956"/>
    <w:rsid w:val="3BB43E16"/>
    <w:rsid w:val="3BB605E3"/>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9D7889"/>
    <w:rsid w:val="3CA10C94"/>
    <w:rsid w:val="3CA849CB"/>
    <w:rsid w:val="3CCB5BC6"/>
    <w:rsid w:val="3CD14649"/>
    <w:rsid w:val="3CE86A1C"/>
    <w:rsid w:val="3CEF1F9E"/>
    <w:rsid w:val="3D031D8A"/>
    <w:rsid w:val="3D062484"/>
    <w:rsid w:val="3D10063E"/>
    <w:rsid w:val="3D102D7B"/>
    <w:rsid w:val="3D177553"/>
    <w:rsid w:val="3D193DF3"/>
    <w:rsid w:val="3D1A14AD"/>
    <w:rsid w:val="3D1D3C05"/>
    <w:rsid w:val="3D246E5A"/>
    <w:rsid w:val="3D351806"/>
    <w:rsid w:val="3D390839"/>
    <w:rsid w:val="3D3C2BA5"/>
    <w:rsid w:val="3D440375"/>
    <w:rsid w:val="3D457A00"/>
    <w:rsid w:val="3D49672F"/>
    <w:rsid w:val="3D4A1496"/>
    <w:rsid w:val="3D4C5AE1"/>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B979B4"/>
    <w:rsid w:val="3DCB24A6"/>
    <w:rsid w:val="3DCC1E7E"/>
    <w:rsid w:val="3DD4374A"/>
    <w:rsid w:val="3DDD29A0"/>
    <w:rsid w:val="3DE15919"/>
    <w:rsid w:val="3DE976C2"/>
    <w:rsid w:val="3DF90482"/>
    <w:rsid w:val="3DF95EC3"/>
    <w:rsid w:val="3DFA4B38"/>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9164DD"/>
    <w:rsid w:val="3E92370F"/>
    <w:rsid w:val="3EA07325"/>
    <w:rsid w:val="3EB2263C"/>
    <w:rsid w:val="3EC17934"/>
    <w:rsid w:val="3EC949A3"/>
    <w:rsid w:val="3ED21C3F"/>
    <w:rsid w:val="3ED92B4F"/>
    <w:rsid w:val="3EDB49C2"/>
    <w:rsid w:val="3EDF3C64"/>
    <w:rsid w:val="3EE21E99"/>
    <w:rsid w:val="3EE22303"/>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01AE6"/>
    <w:rsid w:val="40326E41"/>
    <w:rsid w:val="40385AA9"/>
    <w:rsid w:val="403B29C9"/>
    <w:rsid w:val="403B53C3"/>
    <w:rsid w:val="403D69B3"/>
    <w:rsid w:val="4044786E"/>
    <w:rsid w:val="404558DE"/>
    <w:rsid w:val="404855D8"/>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6F18E5"/>
    <w:rsid w:val="41773C7A"/>
    <w:rsid w:val="41783809"/>
    <w:rsid w:val="418B104E"/>
    <w:rsid w:val="41930993"/>
    <w:rsid w:val="419D40FB"/>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4F7B2C"/>
    <w:rsid w:val="42521E1D"/>
    <w:rsid w:val="426106F9"/>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830A6E"/>
    <w:rsid w:val="439259D2"/>
    <w:rsid w:val="439B4E7F"/>
    <w:rsid w:val="43B64920"/>
    <w:rsid w:val="43D13E89"/>
    <w:rsid w:val="43E3508A"/>
    <w:rsid w:val="43EB4BFE"/>
    <w:rsid w:val="43EE0ECC"/>
    <w:rsid w:val="43F4135D"/>
    <w:rsid w:val="43F71F07"/>
    <w:rsid w:val="43F7500D"/>
    <w:rsid w:val="44005E7B"/>
    <w:rsid w:val="44013179"/>
    <w:rsid w:val="440805B8"/>
    <w:rsid w:val="441218AF"/>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DE6F85"/>
    <w:rsid w:val="44EE6174"/>
    <w:rsid w:val="44EF1836"/>
    <w:rsid w:val="44F6488D"/>
    <w:rsid w:val="44FC2960"/>
    <w:rsid w:val="45026AC6"/>
    <w:rsid w:val="45044A12"/>
    <w:rsid w:val="450874C4"/>
    <w:rsid w:val="45123B46"/>
    <w:rsid w:val="45282A9A"/>
    <w:rsid w:val="452B6A1A"/>
    <w:rsid w:val="45334A20"/>
    <w:rsid w:val="453711EE"/>
    <w:rsid w:val="453C14B9"/>
    <w:rsid w:val="4548010A"/>
    <w:rsid w:val="45481632"/>
    <w:rsid w:val="455238CA"/>
    <w:rsid w:val="4589448D"/>
    <w:rsid w:val="45A9516E"/>
    <w:rsid w:val="45C86987"/>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6032E"/>
    <w:rsid w:val="48083C5D"/>
    <w:rsid w:val="480E6B03"/>
    <w:rsid w:val="480E6FE4"/>
    <w:rsid w:val="48117517"/>
    <w:rsid w:val="481B4DCC"/>
    <w:rsid w:val="481B6A79"/>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1196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59E9"/>
    <w:rsid w:val="4C50744F"/>
    <w:rsid w:val="4C5640F1"/>
    <w:rsid w:val="4C572817"/>
    <w:rsid w:val="4C5A1583"/>
    <w:rsid w:val="4C5A636B"/>
    <w:rsid w:val="4C6241E3"/>
    <w:rsid w:val="4C6369A7"/>
    <w:rsid w:val="4C644BBF"/>
    <w:rsid w:val="4C653585"/>
    <w:rsid w:val="4C6C14CD"/>
    <w:rsid w:val="4C6C224A"/>
    <w:rsid w:val="4C787DD0"/>
    <w:rsid w:val="4C7C366B"/>
    <w:rsid w:val="4C7D636D"/>
    <w:rsid w:val="4C873E85"/>
    <w:rsid w:val="4C8E3A1F"/>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74DCA"/>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EFA7A2C"/>
    <w:rsid w:val="4F05572E"/>
    <w:rsid w:val="4F085853"/>
    <w:rsid w:val="4F0B1984"/>
    <w:rsid w:val="4F153A2F"/>
    <w:rsid w:val="4F1B3724"/>
    <w:rsid w:val="4F1D0E4A"/>
    <w:rsid w:val="4F22732B"/>
    <w:rsid w:val="4F2B59D9"/>
    <w:rsid w:val="4F430F16"/>
    <w:rsid w:val="4F4A1B00"/>
    <w:rsid w:val="4F6B59DE"/>
    <w:rsid w:val="4F6F7BAE"/>
    <w:rsid w:val="4F762283"/>
    <w:rsid w:val="4F9A4993"/>
    <w:rsid w:val="4F9A6982"/>
    <w:rsid w:val="4FA325A6"/>
    <w:rsid w:val="4FA56BCD"/>
    <w:rsid w:val="4FA83E2A"/>
    <w:rsid w:val="4FA844A2"/>
    <w:rsid w:val="4FBF1357"/>
    <w:rsid w:val="4FC42854"/>
    <w:rsid w:val="4FC621F2"/>
    <w:rsid w:val="4FC7319D"/>
    <w:rsid w:val="4FDF029D"/>
    <w:rsid w:val="4FE76145"/>
    <w:rsid w:val="4FF92635"/>
    <w:rsid w:val="500C6791"/>
    <w:rsid w:val="50151C34"/>
    <w:rsid w:val="50194853"/>
    <w:rsid w:val="50250986"/>
    <w:rsid w:val="502C6FDC"/>
    <w:rsid w:val="503C1ED5"/>
    <w:rsid w:val="503C1FA1"/>
    <w:rsid w:val="503C4DDA"/>
    <w:rsid w:val="503C72D7"/>
    <w:rsid w:val="503D204E"/>
    <w:rsid w:val="505E14C8"/>
    <w:rsid w:val="50621D1D"/>
    <w:rsid w:val="50660A6D"/>
    <w:rsid w:val="506C5899"/>
    <w:rsid w:val="50730E54"/>
    <w:rsid w:val="50731582"/>
    <w:rsid w:val="509A2E32"/>
    <w:rsid w:val="509F5FAB"/>
    <w:rsid w:val="50B51267"/>
    <w:rsid w:val="50D0779D"/>
    <w:rsid w:val="50D66339"/>
    <w:rsid w:val="50E2253E"/>
    <w:rsid w:val="50FD0E66"/>
    <w:rsid w:val="510B565B"/>
    <w:rsid w:val="51120212"/>
    <w:rsid w:val="51144DFE"/>
    <w:rsid w:val="511869DC"/>
    <w:rsid w:val="512D39B1"/>
    <w:rsid w:val="512E1A85"/>
    <w:rsid w:val="513779D9"/>
    <w:rsid w:val="513D3E59"/>
    <w:rsid w:val="51482EA1"/>
    <w:rsid w:val="5149740B"/>
    <w:rsid w:val="514E06C0"/>
    <w:rsid w:val="515446E1"/>
    <w:rsid w:val="5155290A"/>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17C46"/>
    <w:rsid w:val="540F29CB"/>
    <w:rsid w:val="54243EFD"/>
    <w:rsid w:val="542925D0"/>
    <w:rsid w:val="5457477E"/>
    <w:rsid w:val="545A5363"/>
    <w:rsid w:val="546077C6"/>
    <w:rsid w:val="54646C16"/>
    <w:rsid w:val="54680A46"/>
    <w:rsid w:val="54814751"/>
    <w:rsid w:val="548F58A2"/>
    <w:rsid w:val="54965564"/>
    <w:rsid w:val="54982C54"/>
    <w:rsid w:val="549C3CF7"/>
    <w:rsid w:val="54A620A4"/>
    <w:rsid w:val="54A6767D"/>
    <w:rsid w:val="54AC2B6D"/>
    <w:rsid w:val="54AC5454"/>
    <w:rsid w:val="54B04618"/>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67580"/>
    <w:rsid w:val="558B3FD6"/>
    <w:rsid w:val="559011CA"/>
    <w:rsid w:val="55947366"/>
    <w:rsid w:val="559D62B8"/>
    <w:rsid w:val="55AE4018"/>
    <w:rsid w:val="55C94CAE"/>
    <w:rsid w:val="55CF73FE"/>
    <w:rsid w:val="55E57E38"/>
    <w:rsid w:val="55EA4151"/>
    <w:rsid w:val="55F000D2"/>
    <w:rsid w:val="55F261D1"/>
    <w:rsid w:val="55F3337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F25F2B"/>
    <w:rsid w:val="57FB62CC"/>
    <w:rsid w:val="580A6283"/>
    <w:rsid w:val="580F6546"/>
    <w:rsid w:val="582F3637"/>
    <w:rsid w:val="58340044"/>
    <w:rsid w:val="58427828"/>
    <w:rsid w:val="58523AB6"/>
    <w:rsid w:val="585A10FF"/>
    <w:rsid w:val="587C03F2"/>
    <w:rsid w:val="58845988"/>
    <w:rsid w:val="588E455C"/>
    <w:rsid w:val="589B0942"/>
    <w:rsid w:val="58BB759A"/>
    <w:rsid w:val="58D632E1"/>
    <w:rsid w:val="58EE43A5"/>
    <w:rsid w:val="59011906"/>
    <w:rsid w:val="5921417C"/>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8065E2"/>
    <w:rsid w:val="5BA11B41"/>
    <w:rsid w:val="5BAC57D5"/>
    <w:rsid w:val="5BB41DFA"/>
    <w:rsid w:val="5BB60E07"/>
    <w:rsid w:val="5BB85E2E"/>
    <w:rsid w:val="5BBC15CD"/>
    <w:rsid w:val="5BC154FF"/>
    <w:rsid w:val="5BCE1DEC"/>
    <w:rsid w:val="5BF84A18"/>
    <w:rsid w:val="5BF86102"/>
    <w:rsid w:val="5C062A97"/>
    <w:rsid w:val="5C066946"/>
    <w:rsid w:val="5C0D0B5B"/>
    <w:rsid w:val="5C1B653E"/>
    <w:rsid w:val="5C1F1314"/>
    <w:rsid w:val="5C213896"/>
    <w:rsid w:val="5C244D0A"/>
    <w:rsid w:val="5C251B6A"/>
    <w:rsid w:val="5C2950BA"/>
    <w:rsid w:val="5C3077B3"/>
    <w:rsid w:val="5C3B38FA"/>
    <w:rsid w:val="5C4417DA"/>
    <w:rsid w:val="5C4616A2"/>
    <w:rsid w:val="5C5872CD"/>
    <w:rsid w:val="5C723D2D"/>
    <w:rsid w:val="5C7D6E15"/>
    <w:rsid w:val="5C855E55"/>
    <w:rsid w:val="5CC33065"/>
    <w:rsid w:val="5CC41DF3"/>
    <w:rsid w:val="5CCC7624"/>
    <w:rsid w:val="5CCF2D3D"/>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0EAE"/>
    <w:rsid w:val="5DCA5651"/>
    <w:rsid w:val="5DDC1DA0"/>
    <w:rsid w:val="5DF94359"/>
    <w:rsid w:val="5DFA4D2D"/>
    <w:rsid w:val="5DFF409F"/>
    <w:rsid w:val="5E104740"/>
    <w:rsid w:val="5E22316E"/>
    <w:rsid w:val="5E294D98"/>
    <w:rsid w:val="5E2D6716"/>
    <w:rsid w:val="5E3A6B57"/>
    <w:rsid w:val="5E3B4227"/>
    <w:rsid w:val="5E3C4BD7"/>
    <w:rsid w:val="5E654B94"/>
    <w:rsid w:val="5E671789"/>
    <w:rsid w:val="5E6A2D60"/>
    <w:rsid w:val="5E6B1DD0"/>
    <w:rsid w:val="5E732AED"/>
    <w:rsid w:val="5E7625CA"/>
    <w:rsid w:val="5E7D69ED"/>
    <w:rsid w:val="5E7F6E97"/>
    <w:rsid w:val="5E9B6F9B"/>
    <w:rsid w:val="5E9E33B6"/>
    <w:rsid w:val="5EAC18A7"/>
    <w:rsid w:val="5EC41C59"/>
    <w:rsid w:val="5EC76D0B"/>
    <w:rsid w:val="5ECE020E"/>
    <w:rsid w:val="5EDF234F"/>
    <w:rsid w:val="5EE1348F"/>
    <w:rsid w:val="5EEC4531"/>
    <w:rsid w:val="5EF03005"/>
    <w:rsid w:val="5F0D6C84"/>
    <w:rsid w:val="5F1B5F77"/>
    <w:rsid w:val="5F2754A3"/>
    <w:rsid w:val="5F287E0B"/>
    <w:rsid w:val="5F2A3F9F"/>
    <w:rsid w:val="5F306744"/>
    <w:rsid w:val="5F310658"/>
    <w:rsid w:val="5F350344"/>
    <w:rsid w:val="5F3E6102"/>
    <w:rsid w:val="5F417E0E"/>
    <w:rsid w:val="5F454602"/>
    <w:rsid w:val="5F4A55C6"/>
    <w:rsid w:val="5F4B3D65"/>
    <w:rsid w:val="5F5938BD"/>
    <w:rsid w:val="5F5A0BD2"/>
    <w:rsid w:val="5F6930D0"/>
    <w:rsid w:val="5F6A388F"/>
    <w:rsid w:val="5F702AE8"/>
    <w:rsid w:val="5F716DED"/>
    <w:rsid w:val="5F744282"/>
    <w:rsid w:val="5F7543B4"/>
    <w:rsid w:val="5F756921"/>
    <w:rsid w:val="5F800749"/>
    <w:rsid w:val="5F8A2AF4"/>
    <w:rsid w:val="5FBF3FC2"/>
    <w:rsid w:val="5FC40B48"/>
    <w:rsid w:val="5FC41F4F"/>
    <w:rsid w:val="5FD80461"/>
    <w:rsid w:val="5FDF16CB"/>
    <w:rsid w:val="5FDF1EF7"/>
    <w:rsid w:val="5FE93E1D"/>
    <w:rsid w:val="5FF529AA"/>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432F8"/>
    <w:rsid w:val="60E5198E"/>
    <w:rsid w:val="60F46F08"/>
    <w:rsid w:val="610E5299"/>
    <w:rsid w:val="61173233"/>
    <w:rsid w:val="611B6045"/>
    <w:rsid w:val="61252737"/>
    <w:rsid w:val="613258E7"/>
    <w:rsid w:val="613B0519"/>
    <w:rsid w:val="61426594"/>
    <w:rsid w:val="614B6BBC"/>
    <w:rsid w:val="614F7714"/>
    <w:rsid w:val="614F79E9"/>
    <w:rsid w:val="615F1CAE"/>
    <w:rsid w:val="615F2167"/>
    <w:rsid w:val="615F7D6A"/>
    <w:rsid w:val="616048EE"/>
    <w:rsid w:val="61653414"/>
    <w:rsid w:val="61775B03"/>
    <w:rsid w:val="61787C76"/>
    <w:rsid w:val="617D2724"/>
    <w:rsid w:val="618C04FE"/>
    <w:rsid w:val="6192024E"/>
    <w:rsid w:val="61DE1F1F"/>
    <w:rsid w:val="61E26CFA"/>
    <w:rsid w:val="61F155B4"/>
    <w:rsid w:val="620058CC"/>
    <w:rsid w:val="62010932"/>
    <w:rsid w:val="62175873"/>
    <w:rsid w:val="621A07C5"/>
    <w:rsid w:val="621A2AEC"/>
    <w:rsid w:val="621D3DE0"/>
    <w:rsid w:val="62204A9C"/>
    <w:rsid w:val="623D3F36"/>
    <w:rsid w:val="624C7A06"/>
    <w:rsid w:val="624D069F"/>
    <w:rsid w:val="625630EE"/>
    <w:rsid w:val="625A3A2B"/>
    <w:rsid w:val="62641E35"/>
    <w:rsid w:val="628B380A"/>
    <w:rsid w:val="62A86AE4"/>
    <w:rsid w:val="62B6094A"/>
    <w:rsid w:val="62CE4E0F"/>
    <w:rsid w:val="62DF20A9"/>
    <w:rsid w:val="62E54C39"/>
    <w:rsid w:val="62EB578C"/>
    <w:rsid w:val="62F167F5"/>
    <w:rsid w:val="62FE5AC6"/>
    <w:rsid w:val="630C3AE7"/>
    <w:rsid w:val="63325CEE"/>
    <w:rsid w:val="633B4110"/>
    <w:rsid w:val="634D5A29"/>
    <w:rsid w:val="635555EB"/>
    <w:rsid w:val="635D0A00"/>
    <w:rsid w:val="635D7216"/>
    <w:rsid w:val="636720D2"/>
    <w:rsid w:val="636E7708"/>
    <w:rsid w:val="63716BBE"/>
    <w:rsid w:val="63722410"/>
    <w:rsid w:val="63794C98"/>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0D29"/>
    <w:rsid w:val="65E9248D"/>
    <w:rsid w:val="65EF7DFF"/>
    <w:rsid w:val="6613354E"/>
    <w:rsid w:val="66200813"/>
    <w:rsid w:val="662032A0"/>
    <w:rsid w:val="66322707"/>
    <w:rsid w:val="664A2B0B"/>
    <w:rsid w:val="665225B6"/>
    <w:rsid w:val="66643CD5"/>
    <w:rsid w:val="66645BD3"/>
    <w:rsid w:val="666752FC"/>
    <w:rsid w:val="66706620"/>
    <w:rsid w:val="667A0598"/>
    <w:rsid w:val="667A2800"/>
    <w:rsid w:val="667B23ED"/>
    <w:rsid w:val="66895C07"/>
    <w:rsid w:val="669022B7"/>
    <w:rsid w:val="66940A39"/>
    <w:rsid w:val="66AD2869"/>
    <w:rsid w:val="66B73366"/>
    <w:rsid w:val="66CA5E5F"/>
    <w:rsid w:val="66CE57A9"/>
    <w:rsid w:val="66E710BA"/>
    <w:rsid w:val="66ED62BD"/>
    <w:rsid w:val="66F61236"/>
    <w:rsid w:val="66F7489D"/>
    <w:rsid w:val="67164009"/>
    <w:rsid w:val="671A520A"/>
    <w:rsid w:val="67292A7D"/>
    <w:rsid w:val="672E27A7"/>
    <w:rsid w:val="673A2970"/>
    <w:rsid w:val="67514E24"/>
    <w:rsid w:val="675E7746"/>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535DA"/>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2F5BE0"/>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07CE2"/>
    <w:rsid w:val="6B062F9D"/>
    <w:rsid w:val="6B0A4E87"/>
    <w:rsid w:val="6B110489"/>
    <w:rsid w:val="6B124689"/>
    <w:rsid w:val="6B1472AB"/>
    <w:rsid w:val="6B1F6C35"/>
    <w:rsid w:val="6B210B08"/>
    <w:rsid w:val="6B2B07A1"/>
    <w:rsid w:val="6B3D1977"/>
    <w:rsid w:val="6B3E1542"/>
    <w:rsid w:val="6B3F2B4F"/>
    <w:rsid w:val="6B407F5A"/>
    <w:rsid w:val="6B416A29"/>
    <w:rsid w:val="6B5A41AF"/>
    <w:rsid w:val="6B671D29"/>
    <w:rsid w:val="6B6A7091"/>
    <w:rsid w:val="6B6B4D30"/>
    <w:rsid w:val="6B751185"/>
    <w:rsid w:val="6B8A477E"/>
    <w:rsid w:val="6B8F6298"/>
    <w:rsid w:val="6B9861A7"/>
    <w:rsid w:val="6BA82C4B"/>
    <w:rsid w:val="6BB02DDF"/>
    <w:rsid w:val="6BD92C40"/>
    <w:rsid w:val="6BE839EF"/>
    <w:rsid w:val="6BED6077"/>
    <w:rsid w:val="6BF63366"/>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E63F0D"/>
    <w:rsid w:val="6DEB24F1"/>
    <w:rsid w:val="6E0C22A1"/>
    <w:rsid w:val="6E11324D"/>
    <w:rsid w:val="6E1E3A1A"/>
    <w:rsid w:val="6E3433E7"/>
    <w:rsid w:val="6E361F05"/>
    <w:rsid w:val="6E363CDF"/>
    <w:rsid w:val="6E3F7264"/>
    <w:rsid w:val="6E527A2D"/>
    <w:rsid w:val="6E5F7415"/>
    <w:rsid w:val="6E6209C2"/>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E70B21"/>
    <w:rsid w:val="6EFC3550"/>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2E7C60"/>
    <w:rsid w:val="70853BCC"/>
    <w:rsid w:val="709A0FE4"/>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53C39"/>
    <w:rsid w:val="71AB5F8A"/>
    <w:rsid w:val="71B04DD0"/>
    <w:rsid w:val="71B07710"/>
    <w:rsid w:val="71B24E95"/>
    <w:rsid w:val="71B63CA1"/>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93129"/>
    <w:rsid w:val="73FB1416"/>
    <w:rsid w:val="741D25EF"/>
    <w:rsid w:val="741E5F67"/>
    <w:rsid w:val="74390C11"/>
    <w:rsid w:val="74422B4B"/>
    <w:rsid w:val="744300E1"/>
    <w:rsid w:val="74465350"/>
    <w:rsid w:val="746B647F"/>
    <w:rsid w:val="7484200A"/>
    <w:rsid w:val="7489283A"/>
    <w:rsid w:val="749262B3"/>
    <w:rsid w:val="749529EE"/>
    <w:rsid w:val="74973215"/>
    <w:rsid w:val="74A6039C"/>
    <w:rsid w:val="74AE5076"/>
    <w:rsid w:val="74B53285"/>
    <w:rsid w:val="74B746E8"/>
    <w:rsid w:val="74C3296B"/>
    <w:rsid w:val="74CE7946"/>
    <w:rsid w:val="74D67798"/>
    <w:rsid w:val="74D87365"/>
    <w:rsid w:val="74DF4168"/>
    <w:rsid w:val="74EA456A"/>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54BE6"/>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1D2B81"/>
    <w:rsid w:val="78216773"/>
    <w:rsid w:val="782A3B8B"/>
    <w:rsid w:val="783862E1"/>
    <w:rsid w:val="783B6459"/>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A203EB"/>
    <w:rsid w:val="79B561F9"/>
    <w:rsid w:val="79B90BB7"/>
    <w:rsid w:val="79BB2056"/>
    <w:rsid w:val="79C178A4"/>
    <w:rsid w:val="79C87ACE"/>
    <w:rsid w:val="79CA5589"/>
    <w:rsid w:val="79CA72B2"/>
    <w:rsid w:val="79CB01E3"/>
    <w:rsid w:val="79DC07CB"/>
    <w:rsid w:val="79E24A71"/>
    <w:rsid w:val="79F3602D"/>
    <w:rsid w:val="79F729CB"/>
    <w:rsid w:val="7A053BFB"/>
    <w:rsid w:val="7A0927B5"/>
    <w:rsid w:val="7A0F072E"/>
    <w:rsid w:val="7A334A5B"/>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C42EFD"/>
    <w:rsid w:val="7ACF293B"/>
    <w:rsid w:val="7ACF5FBB"/>
    <w:rsid w:val="7AD51A8A"/>
    <w:rsid w:val="7AEE6F5C"/>
    <w:rsid w:val="7AF3075E"/>
    <w:rsid w:val="7AF76867"/>
    <w:rsid w:val="7B1903CB"/>
    <w:rsid w:val="7B223A05"/>
    <w:rsid w:val="7B2C1EB5"/>
    <w:rsid w:val="7B375F8B"/>
    <w:rsid w:val="7B4C0855"/>
    <w:rsid w:val="7B550266"/>
    <w:rsid w:val="7B552736"/>
    <w:rsid w:val="7B623A28"/>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1F046A"/>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B8428A"/>
    <w:rsid w:val="7DC71958"/>
    <w:rsid w:val="7DD0535D"/>
    <w:rsid w:val="7DD662D0"/>
    <w:rsid w:val="7DDC39A2"/>
    <w:rsid w:val="7DDF5BB8"/>
    <w:rsid w:val="7DEE5387"/>
    <w:rsid w:val="7DF076CD"/>
    <w:rsid w:val="7E03513B"/>
    <w:rsid w:val="7E145B78"/>
    <w:rsid w:val="7E1625A8"/>
    <w:rsid w:val="7E1E5DFA"/>
    <w:rsid w:val="7E45572A"/>
    <w:rsid w:val="7E4F3EE6"/>
    <w:rsid w:val="7E525688"/>
    <w:rsid w:val="7E5358A2"/>
    <w:rsid w:val="7E57165F"/>
    <w:rsid w:val="7E5C5F01"/>
    <w:rsid w:val="7E72494E"/>
    <w:rsid w:val="7E811934"/>
    <w:rsid w:val="7E8F6B16"/>
    <w:rsid w:val="7E961378"/>
    <w:rsid w:val="7EA617D8"/>
    <w:rsid w:val="7EA96A04"/>
    <w:rsid w:val="7ECA7D82"/>
    <w:rsid w:val="7EDD2BB7"/>
    <w:rsid w:val="7EEE6FEA"/>
    <w:rsid w:val="7EF24838"/>
    <w:rsid w:val="7EFA6953"/>
    <w:rsid w:val="7EFD157F"/>
    <w:rsid w:val="7F007023"/>
    <w:rsid w:val="7F0426FB"/>
    <w:rsid w:val="7F057208"/>
    <w:rsid w:val="7F060840"/>
    <w:rsid w:val="7F0770CE"/>
    <w:rsid w:val="7F084B75"/>
    <w:rsid w:val="7F0B4497"/>
    <w:rsid w:val="7F1262E1"/>
    <w:rsid w:val="7F1E4DF1"/>
    <w:rsid w:val="7F224903"/>
    <w:rsid w:val="7F230D06"/>
    <w:rsid w:val="7F2D409B"/>
    <w:rsid w:val="7F3367F6"/>
    <w:rsid w:val="7F3E3B6D"/>
    <w:rsid w:val="7F405636"/>
    <w:rsid w:val="7F560F95"/>
    <w:rsid w:val="7F737A53"/>
    <w:rsid w:val="7F8304E3"/>
    <w:rsid w:val="7F8339FD"/>
    <w:rsid w:val="7F974ED5"/>
    <w:rsid w:val="7F9F5B2E"/>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99"/>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99"/>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99"/>
    <w:pPr>
      <w:numPr>
        <w:ilvl w:val="2"/>
        <w:numId w:val="1"/>
      </w:numPr>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批注框文本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文档结构图 Char"/>
    <w:basedOn w:val="58"/>
    <w:link w:val="23"/>
    <w:qFormat/>
    <w:uiPriority w:val="0"/>
    <w:rPr>
      <w:rFonts w:ascii="宋体"/>
      <w:kern w:val="2"/>
      <w:sz w:val="18"/>
      <w:szCs w:val="18"/>
    </w:rPr>
  </w:style>
  <w:style w:type="character" w:customStyle="1" w:styleId="70">
    <w:name w:val="标题 1 Char"/>
    <w:basedOn w:val="58"/>
    <w:link w:val="2"/>
    <w:qFormat/>
    <w:uiPriority w:val="99"/>
    <w:rPr>
      <w:b/>
      <w:bCs/>
      <w:kern w:val="44"/>
      <w:sz w:val="44"/>
      <w:szCs w:val="44"/>
    </w:rPr>
  </w:style>
  <w:style w:type="character" w:customStyle="1" w:styleId="71">
    <w:name w:val="标题 2 Char"/>
    <w:basedOn w:val="58"/>
    <w:link w:val="3"/>
    <w:qFormat/>
    <w:uiPriority w:val="99"/>
    <w:rPr>
      <w:rFonts w:ascii="Arial" w:hAnsi="Arial" w:eastAsia="MS Mincho"/>
      <w:sz w:val="32"/>
      <w:szCs w:val="32"/>
      <w:lang w:val="en-GB"/>
    </w:rPr>
  </w:style>
  <w:style w:type="character" w:customStyle="1" w:styleId="72">
    <w:name w:val="标题 3 Char"/>
    <w:basedOn w:val="58"/>
    <w:link w:val="4"/>
    <w:qFormat/>
    <w:uiPriority w:val="99"/>
    <w:rPr>
      <w:rFonts w:ascii="Arial" w:hAnsi="Arial" w:eastAsia="MS Mincho"/>
      <w:b/>
      <w:bCs/>
      <w:sz w:val="32"/>
      <w:szCs w:val="32"/>
      <w:lang w:val="en-GB"/>
    </w:rPr>
  </w:style>
  <w:style w:type="character" w:customStyle="1" w:styleId="73">
    <w:name w:val="标题 4 Char"/>
    <w:basedOn w:val="58"/>
    <w:link w:val="5"/>
    <w:qFormat/>
    <w:uiPriority w:val="0"/>
    <w:rPr>
      <w:rFonts w:ascii="Arial" w:hAnsi="Arial" w:eastAsia="黑体"/>
      <w:b/>
      <w:bCs/>
      <w:sz w:val="28"/>
      <w:szCs w:val="32"/>
      <w:lang w:val="en-GB"/>
    </w:rPr>
  </w:style>
  <w:style w:type="character" w:customStyle="1" w:styleId="74">
    <w:name w:val="标题 5 Char"/>
    <w:basedOn w:val="58"/>
    <w:link w:val="6"/>
    <w:qFormat/>
    <w:uiPriority w:val="0"/>
    <w:rPr>
      <w:rFonts w:ascii="Arial" w:hAnsi="Arial" w:eastAsia="黑体"/>
      <w:b/>
      <w:bCs/>
      <w:sz w:val="28"/>
      <w:szCs w:val="32"/>
      <w:lang w:val="en-GB"/>
    </w:rPr>
  </w:style>
  <w:style w:type="character" w:customStyle="1" w:styleId="75">
    <w:name w:val="标题 6 Char"/>
    <w:basedOn w:val="58"/>
    <w:link w:val="7"/>
    <w:qFormat/>
    <w:uiPriority w:val="0"/>
    <w:rPr>
      <w:rFonts w:ascii="Arial" w:hAnsi="Arial" w:eastAsia="黑体"/>
      <w:b/>
      <w:kern w:val="2"/>
      <w:sz w:val="24"/>
      <w:szCs w:val="24"/>
    </w:rPr>
  </w:style>
  <w:style w:type="character" w:customStyle="1" w:styleId="76">
    <w:name w:val="标题 7 Char"/>
    <w:basedOn w:val="58"/>
    <w:link w:val="8"/>
    <w:qFormat/>
    <w:uiPriority w:val="0"/>
    <w:rPr>
      <w:b/>
      <w:kern w:val="2"/>
      <w:sz w:val="24"/>
      <w:szCs w:val="24"/>
    </w:rPr>
  </w:style>
  <w:style w:type="character" w:customStyle="1" w:styleId="77">
    <w:name w:val="标题 8 Char"/>
    <w:basedOn w:val="58"/>
    <w:link w:val="9"/>
    <w:qFormat/>
    <w:uiPriority w:val="0"/>
    <w:rPr>
      <w:rFonts w:ascii="Arial" w:hAnsi="Arial" w:eastAsia="黑体"/>
      <w:kern w:val="2"/>
      <w:sz w:val="24"/>
      <w:szCs w:val="24"/>
    </w:rPr>
  </w:style>
  <w:style w:type="character" w:customStyle="1" w:styleId="78">
    <w:name w:val="标题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页眉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批注文字 Char1"/>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99"/>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尾注文本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link w:val="2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 w:type="character" w:customStyle="1" w:styleId="283">
    <w:name w:val="PL Char"/>
    <w:link w:val="246"/>
    <w:qFormat/>
    <w:uiPriority w:val="0"/>
    <w:rPr>
      <w:rFonts w:ascii="Courier New" w:hAnsi="Courier New" w:eastAsia="MS Mincho"/>
      <w:sz w:val="16"/>
      <w:lang w:eastAsia="en-US"/>
    </w:rPr>
  </w:style>
  <w:style w:type="table" w:customStyle="1" w:styleId="284">
    <w:name w:val="清单表 31"/>
    <w:basedOn w:val="56"/>
    <w:qFormat/>
    <w:uiPriority w:val="48"/>
    <w:tblPr>
      <w:tblBorders>
        <w:top w:val="single" w:color="008ED3" w:themeColor="text1" w:sz="4" w:space="0"/>
        <w:left w:val="single" w:color="008ED3" w:themeColor="text1" w:sz="4" w:space="0"/>
        <w:bottom w:val="single" w:color="008ED3" w:themeColor="text1" w:sz="4" w:space="0"/>
        <w:right w:val="single" w:color="008ED3" w:themeColor="text1" w:sz="4" w:space="0"/>
      </w:tblBorders>
    </w:tblPr>
    <w:tblStylePr w:type="firstRow">
      <w:rPr>
        <w:b/>
        <w:bCs/>
        <w:color w:val="FFFFFF" w:themeColor="background1"/>
        <w14:textFill>
          <w14:solidFill>
            <w14:schemeClr w14:val="bg1"/>
          </w14:solidFill>
        </w14:textFill>
      </w:rPr>
      <w:tcPr>
        <w:shd w:val="clear" w:color="auto" w:fill="008ED3" w:themeFill="text1"/>
      </w:tcPr>
    </w:tblStylePr>
    <w:tblStylePr w:type="lastRow">
      <w:rPr>
        <w:b/>
        <w:bCs/>
      </w:rPr>
      <w:tcPr>
        <w:tcBorders>
          <w:top w:val="double" w:color="008ED3"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8ED3" w:themeColor="text1" w:sz="4" w:space="0"/>
          <w:right w:val="single" w:color="008ED3" w:themeColor="text1" w:sz="4" w:space="0"/>
        </w:tcBorders>
      </w:tcPr>
    </w:tblStylePr>
    <w:tblStylePr w:type="band1Horz">
      <w:tcPr>
        <w:tcBorders>
          <w:top w:val="single" w:color="008ED3" w:themeColor="text1" w:sz="4" w:space="0"/>
          <w:bottom w:val="single" w:color="008ED3"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8ED3" w:themeColor="text1" w:sz="4" w:space="0"/>
          <w:left w:val="nil"/>
        </w:tcBorders>
      </w:tcPr>
    </w:tblStylePr>
    <w:tblStylePr w:type="swCell">
      <w:tcPr>
        <w:tcBorders>
          <w:top w:val="double" w:color="008ED3" w:themeColor="text1" w:sz="4" w:space="0"/>
          <w:right w:val="nil"/>
        </w:tcBorders>
      </w:tcPr>
    </w:tblStylePr>
  </w:style>
  <w:style w:type="table" w:customStyle="1" w:styleId="285">
    <w:name w:val="清单表 3 - 着色 51"/>
    <w:basedOn w:val="56"/>
    <w:qFormat/>
    <w:uiPriority w:val="48"/>
    <w:tblPr>
      <w:tblBorders>
        <w:top w:val="single" w:color="8DC642" w:themeColor="accent5" w:sz="4" w:space="0"/>
        <w:left w:val="single" w:color="8DC642" w:themeColor="accent5" w:sz="4" w:space="0"/>
        <w:bottom w:val="single" w:color="8DC642" w:themeColor="accent5" w:sz="4" w:space="0"/>
        <w:right w:val="single" w:color="8DC642" w:themeColor="accent5" w:sz="4" w:space="0"/>
      </w:tblBorders>
    </w:tblPr>
    <w:tblStylePr w:type="firstRow">
      <w:rPr>
        <w:b/>
        <w:bCs/>
        <w:color w:val="FFFFFF" w:themeColor="background1"/>
        <w14:textFill>
          <w14:solidFill>
            <w14:schemeClr w14:val="bg1"/>
          </w14:solidFill>
        </w14:textFill>
      </w:rPr>
      <w:tcPr>
        <w:shd w:val="clear" w:color="auto" w:fill="8DC642" w:themeFill="accent5"/>
      </w:tcPr>
    </w:tblStylePr>
    <w:tblStylePr w:type="lastRow">
      <w:rPr>
        <w:b/>
        <w:bCs/>
      </w:rPr>
      <w:tcPr>
        <w:tcBorders>
          <w:top w:val="double" w:color="8DC642"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8DC642" w:themeColor="accent5" w:sz="4" w:space="0"/>
          <w:right w:val="single" w:color="8DC642" w:themeColor="accent5" w:sz="4" w:space="0"/>
        </w:tcBorders>
      </w:tcPr>
    </w:tblStylePr>
    <w:tblStylePr w:type="band1Horz">
      <w:tcPr>
        <w:tcBorders>
          <w:top w:val="single" w:color="8DC642" w:themeColor="accent5" w:sz="4" w:space="0"/>
          <w:bottom w:val="single" w:color="8DC642"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8DC642" w:themeColor="accent5" w:sz="4" w:space="0"/>
          <w:left w:val="nil"/>
        </w:tcBorders>
      </w:tcPr>
    </w:tblStylePr>
    <w:tblStylePr w:type="swCell">
      <w:tcPr>
        <w:tcBorders>
          <w:top w:val="double" w:color="8DC642" w:themeColor="accent5" w:sz="4" w:space="0"/>
          <w:right w:val="nil"/>
        </w:tcBorders>
      </w:tcPr>
    </w:tblStylePr>
  </w:style>
  <w:style w:type="table" w:customStyle="1" w:styleId="286">
    <w:name w:val="网格表 3 - 着色 21"/>
    <w:basedOn w:val="56"/>
    <w:qFormat/>
    <w:uiPriority w:val="48"/>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insideV w:val="single" w:color="A0E0F5"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FF4FB" w:themeFill="accent2" w:themeFillTint="33"/>
      </w:tcPr>
    </w:tblStylePr>
    <w:tblStylePr w:type="band1Horz">
      <w:tcPr>
        <w:shd w:val="clear" w:color="auto" w:fill="DFF4FB" w:themeFill="accent2" w:themeFillTint="33"/>
      </w:tcPr>
    </w:tblStylePr>
    <w:tblStylePr w:type="neCell">
      <w:tcPr>
        <w:tcBorders>
          <w:bottom w:val="single" w:color="A0E0F5" w:themeColor="accent2" w:themeTint="99" w:sz="4" w:space="0"/>
        </w:tcBorders>
      </w:tcPr>
    </w:tblStylePr>
    <w:tblStylePr w:type="nwCell">
      <w:tcPr>
        <w:tcBorders>
          <w:bottom w:val="single" w:color="A0E0F5" w:themeColor="accent2" w:themeTint="99" w:sz="4" w:space="0"/>
        </w:tcBorders>
      </w:tcPr>
    </w:tblStylePr>
    <w:tblStylePr w:type="seCell">
      <w:tcPr>
        <w:tcBorders>
          <w:top w:val="single" w:color="A0E0F5" w:themeColor="accent2" w:themeTint="99" w:sz="4" w:space="0"/>
        </w:tcBorders>
      </w:tcPr>
    </w:tblStylePr>
    <w:tblStylePr w:type="swCell">
      <w:tcPr>
        <w:tcBorders>
          <w:top w:val="single" w:color="A0E0F5" w:themeColor="accent2" w:themeTint="99" w:sz="4" w:space="0"/>
        </w:tcBorders>
      </w:tcPr>
    </w:tblStylePr>
  </w:style>
  <w:style w:type="table" w:customStyle="1" w:styleId="287">
    <w:name w:val="网格表 41"/>
    <w:basedOn w:val="56"/>
    <w:qFormat/>
    <w:uiPriority w:val="49"/>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insideV w:val="single" w:color="4BC4FF" w:themeColor="text1" w:themeTint="99" w:sz="4" w:space="0"/>
      </w:tblBorders>
    </w:tblPr>
    <w:tblStylePr w:type="firstRow">
      <w:rPr>
        <w:b/>
        <w:bCs/>
        <w:color w:val="FFFFFF" w:themeColor="background1"/>
        <w14:textFill>
          <w14:solidFill>
            <w14:schemeClr w14:val="bg1"/>
          </w14:solidFill>
        </w14:textFill>
      </w:rPr>
      <w:tcPr>
        <w:tcBorders>
          <w:top w:val="single" w:color="008ED3" w:themeColor="text1" w:sz="4" w:space="0"/>
          <w:left w:val="single" w:color="008ED3" w:themeColor="text1" w:sz="4" w:space="0"/>
          <w:bottom w:val="single" w:color="008ED3" w:themeColor="text1" w:sz="4" w:space="0"/>
          <w:right w:val="single" w:color="008ED3" w:themeColor="text1" w:sz="4" w:space="0"/>
          <w:insideH w:val="nil"/>
          <w:insideV w:val="nil"/>
        </w:tcBorders>
        <w:shd w:val="clear" w:color="auto" w:fill="008ED3" w:themeFill="text1"/>
      </w:tcPr>
    </w:tblStylePr>
    <w:tblStylePr w:type="lastRow">
      <w:rPr>
        <w:b/>
        <w:bCs/>
      </w:rPr>
      <w:tcPr>
        <w:tcBorders>
          <w:top w:val="double" w:color="008ED3" w:themeColor="text1"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table" w:customStyle="1" w:styleId="288">
    <w:name w:val="清单表 4 - 着色 21"/>
    <w:basedOn w:val="56"/>
    <w:qFormat/>
    <w:uiPriority w:val="49"/>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tblBorders>
    </w:tblPr>
    <w:tblStylePr w:type="firstRow">
      <w:rPr>
        <w:b/>
        <w:bCs/>
        <w:color w:val="FFFFFF" w:themeColor="background1"/>
        <w14:textFill>
          <w14:solidFill>
            <w14:schemeClr w14:val="bg1"/>
          </w14:solidFill>
        </w14:textFill>
      </w:rPr>
      <w:tcPr>
        <w:tcBorders>
          <w:top w:val="single" w:color="61CCF0" w:themeColor="accent2" w:sz="4" w:space="0"/>
          <w:left w:val="single" w:color="61CCF0" w:themeColor="accent2" w:sz="4" w:space="0"/>
          <w:bottom w:val="single" w:color="61CCF0" w:themeColor="accent2" w:sz="4" w:space="0"/>
          <w:right w:val="single" w:color="61CCF0" w:themeColor="accent2" w:sz="4" w:space="0"/>
          <w:insideH w:val="nil"/>
        </w:tcBorders>
        <w:shd w:val="clear" w:color="auto" w:fill="61CCF0" w:themeFill="accent2"/>
      </w:tcPr>
    </w:tblStylePr>
    <w:tblStylePr w:type="lastRow">
      <w:rPr>
        <w:b/>
        <w:bCs/>
      </w:rPr>
      <w:tcPr>
        <w:tcBorders>
          <w:top w:val="double" w:color="A0E0F5" w:themeColor="accent2" w:themeTint="99" w:sz="4" w:space="0"/>
        </w:tcBorders>
      </w:tcPr>
    </w:tblStylePr>
    <w:tblStylePr w:type="firstCol">
      <w:rPr>
        <w:b/>
        <w:bCs/>
      </w:rPr>
    </w:tblStylePr>
    <w:tblStylePr w:type="lastCol">
      <w:rPr>
        <w:b/>
        <w:bCs/>
      </w:rPr>
    </w:tblStylePr>
    <w:tblStylePr w:type="band1Vert">
      <w:tcPr>
        <w:shd w:val="clear" w:color="auto" w:fill="DFF4FB" w:themeFill="accent2" w:themeFillTint="33"/>
      </w:tcPr>
    </w:tblStylePr>
    <w:tblStylePr w:type="band1Horz">
      <w:tcPr>
        <w:shd w:val="clear" w:color="auto" w:fill="DFF4FB" w:themeFill="accent2" w:themeFillTint="33"/>
      </w:tcPr>
    </w:tblStylePr>
  </w:style>
  <w:style w:type="table" w:customStyle="1" w:styleId="289">
    <w:name w:val="网格表 1 浅色 - 着色 61"/>
    <w:basedOn w:val="56"/>
    <w:qFormat/>
    <w:uiPriority w:val="46"/>
    <w:tblPr>
      <w:tblBorders>
        <w:top w:val="single" w:color="BBBCBD" w:themeColor="accent6" w:themeTint="66" w:sz="4" w:space="0"/>
        <w:left w:val="single" w:color="BBBCBD" w:themeColor="accent6" w:themeTint="66" w:sz="4" w:space="0"/>
        <w:bottom w:val="single" w:color="BBBCBD" w:themeColor="accent6" w:themeTint="66" w:sz="4" w:space="0"/>
        <w:right w:val="single" w:color="BBBCBD" w:themeColor="accent6" w:themeTint="66" w:sz="4" w:space="0"/>
        <w:insideH w:val="single" w:color="BBBCBD" w:themeColor="accent6" w:themeTint="66" w:sz="4" w:space="0"/>
        <w:insideV w:val="single" w:color="BBBCBD" w:themeColor="accent6" w:themeTint="66" w:sz="4" w:space="0"/>
      </w:tblBorders>
    </w:tblPr>
    <w:tblStylePr w:type="firstRow">
      <w:rPr>
        <w:b/>
        <w:bCs/>
      </w:rPr>
      <w:tcPr>
        <w:tcBorders>
          <w:bottom w:val="single" w:color="9A9B9D" w:themeColor="accent6" w:themeTint="99" w:sz="12" w:space="0"/>
        </w:tcBorders>
      </w:tcPr>
    </w:tblStylePr>
    <w:tblStylePr w:type="lastRow">
      <w:rPr>
        <w:b/>
        <w:bCs/>
      </w:rPr>
      <w:tcPr>
        <w:tcBorders>
          <w:top w:val="double" w:color="9A9B9D" w:themeColor="accent6" w:themeTint="99" w:sz="2" w:space="0"/>
        </w:tcBorders>
      </w:tcPr>
    </w:tblStylePr>
    <w:tblStylePr w:type="firstCol">
      <w:rPr>
        <w:b/>
        <w:bCs/>
      </w:rPr>
    </w:tblStylePr>
    <w:tblStylePr w:type="lastCol">
      <w:rPr>
        <w:b/>
        <w:bCs/>
      </w:rPr>
    </w:tblStylePr>
  </w:style>
  <w:style w:type="table" w:customStyle="1" w:styleId="290">
    <w:name w:val="网格表 1 浅色 - 着色 21"/>
    <w:basedOn w:val="56"/>
    <w:qFormat/>
    <w:uiPriority w:val="46"/>
    <w:tblPr>
      <w:tblBorders>
        <w:top w:val="single" w:color="BFEAF8" w:themeColor="accent2" w:themeTint="66" w:sz="4" w:space="0"/>
        <w:left w:val="single" w:color="BFEAF8" w:themeColor="accent2" w:themeTint="66" w:sz="4" w:space="0"/>
        <w:bottom w:val="single" w:color="BFEAF8" w:themeColor="accent2" w:themeTint="66" w:sz="4" w:space="0"/>
        <w:right w:val="single" w:color="BFEAF8" w:themeColor="accent2" w:themeTint="66" w:sz="4" w:space="0"/>
        <w:insideH w:val="single" w:color="BFEAF8" w:themeColor="accent2" w:themeTint="66" w:sz="4" w:space="0"/>
        <w:insideV w:val="single" w:color="BFEAF8" w:themeColor="accent2" w:themeTint="66" w:sz="4" w:space="0"/>
      </w:tblBorders>
    </w:tblPr>
    <w:tblStylePr w:type="firstRow">
      <w:rPr>
        <w:b/>
        <w:bCs/>
      </w:rPr>
      <w:tcPr>
        <w:tcBorders>
          <w:bottom w:val="single" w:color="A0E0F5" w:themeColor="accent2" w:themeTint="99" w:sz="12" w:space="0"/>
        </w:tcBorders>
      </w:tcPr>
    </w:tblStylePr>
    <w:tblStylePr w:type="lastRow">
      <w:rPr>
        <w:b/>
        <w:bCs/>
      </w:rPr>
      <w:tcPr>
        <w:tcBorders>
          <w:top w:val="double" w:color="A0E0F5" w:themeColor="accent2" w:themeTint="99" w:sz="2" w:space="0"/>
        </w:tcBorders>
      </w:tcPr>
    </w:tblStylePr>
    <w:tblStylePr w:type="firstCol">
      <w:rPr>
        <w:b/>
        <w:bCs/>
      </w:rPr>
    </w:tblStylePr>
    <w:tblStylePr w:type="lastCol">
      <w:rPr>
        <w:b/>
        <w:bCs/>
      </w:rPr>
    </w:tblStylePr>
  </w:style>
  <w:style w:type="table" w:customStyle="1" w:styleId="291">
    <w:name w:val="网格表 31"/>
    <w:basedOn w:val="56"/>
    <w:qFormat/>
    <w:uiPriority w:val="48"/>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insideV w:val="single" w:color="4BC4FF"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3EBFF" w:themeFill="text1" w:themeFillTint="33"/>
      </w:tcPr>
    </w:tblStylePr>
    <w:tblStylePr w:type="band1Horz">
      <w:tcPr>
        <w:shd w:val="clear" w:color="auto" w:fill="C3EBFF" w:themeFill="text1" w:themeFillTint="33"/>
      </w:tcPr>
    </w:tblStylePr>
    <w:tblStylePr w:type="neCell">
      <w:tcPr>
        <w:tcBorders>
          <w:bottom w:val="single" w:color="4BC4FF" w:themeColor="text1" w:themeTint="99" w:sz="4" w:space="0"/>
        </w:tcBorders>
      </w:tcPr>
    </w:tblStylePr>
    <w:tblStylePr w:type="nwCell">
      <w:tcPr>
        <w:tcBorders>
          <w:bottom w:val="single" w:color="4BC4FF" w:themeColor="text1" w:themeTint="99" w:sz="4" w:space="0"/>
        </w:tcBorders>
      </w:tcPr>
    </w:tblStylePr>
    <w:tblStylePr w:type="seCell">
      <w:tcPr>
        <w:tcBorders>
          <w:top w:val="single" w:color="4BC4FF" w:themeColor="text1" w:themeTint="99" w:sz="4" w:space="0"/>
        </w:tcBorders>
      </w:tcPr>
    </w:tblStylePr>
    <w:tblStylePr w:type="swCell">
      <w:tcPr>
        <w:tcBorders>
          <w:top w:val="single" w:color="4BC4FF" w:themeColor="text1" w:themeTint="99" w:sz="4" w:space="0"/>
        </w:tcBorders>
      </w:tcPr>
    </w:tblStylePr>
  </w:style>
  <w:style w:type="table" w:customStyle="1" w:styleId="292">
    <w:name w:val="网格表 4 - 着色 61"/>
    <w:basedOn w:val="56"/>
    <w:qFormat/>
    <w:uiPriority w:val="49"/>
    <w:tblPr>
      <w:tblBorders>
        <w:top w:val="single" w:color="9A9B9D" w:themeColor="accent6" w:themeTint="99" w:sz="4" w:space="0"/>
        <w:left w:val="single" w:color="9A9B9D" w:themeColor="accent6" w:themeTint="99" w:sz="4" w:space="0"/>
        <w:bottom w:val="single" w:color="9A9B9D" w:themeColor="accent6" w:themeTint="99" w:sz="4" w:space="0"/>
        <w:right w:val="single" w:color="9A9B9D" w:themeColor="accent6" w:themeTint="99" w:sz="4" w:space="0"/>
        <w:insideH w:val="single" w:color="9A9B9D" w:themeColor="accent6" w:themeTint="99" w:sz="4" w:space="0"/>
        <w:insideV w:val="single" w:color="9A9B9D" w:themeColor="accent6" w:themeTint="99" w:sz="4" w:space="0"/>
      </w:tblBorders>
    </w:tblPr>
    <w:tblStylePr w:type="firstRow">
      <w:rPr>
        <w:b/>
        <w:bCs/>
        <w:color w:val="FFFFFF" w:themeColor="background1"/>
        <w14:textFill>
          <w14:solidFill>
            <w14:schemeClr w14:val="bg1"/>
          </w14:solidFill>
        </w14:textFill>
      </w:rPr>
      <w:tcPr>
        <w:tcBorders>
          <w:top w:val="single" w:color="58595B" w:themeColor="accent6" w:sz="4" w:space="0"/>
          <w:left w:val="single" w:color="58595B" w:themeColor="accent6" w:sz="4" w:space="0"/>
          <w:bottom w:val="single" w:color="58595B" w:themeColor="accent6" w:sz="4" w:space="0"/>
          <w:right w:val="single" w:color="58595B" w:themeColor="accent6" w:sz="4" w:space="0"/>
          <w:insideH w:val="nil"/>
          <w:insideV w:val="nil"/>
        </w:tcBorders>
        <w:shd w:val="clear" w:color="auto" w:fill="58595B" w:themeFill="accent6"/>
      </w:tcPr>
    </w:tblStylePr>
    <w:tblStylePr w:type="lastRow">
      <w:rPr>
        <w:b/>
        <w:bCs/>
      </w:rPr>
      <w:tcPr>
        <w:tcBorders>
          <w:top w:val="double" w:color="58595B" w:themeColor="accent6" w:sz="4" w:space="0"/>
        </w:tcBorders>
      </w:tcPr>
    </w:tblStylePr>
    <w:tblStylePr w:type="firstCol">
      <w:rPr>
        <w:b/>
        <w:bCs/>
      </w:rPr>
    </w:tblStylePr>
    <w:tblStylePr w:type="lastCol">
      <w:rPr>
        <w:b/>
        <w:bCs/>
      </w:rPr>
    </w:tblStylePr>
    <w:tblStylePr w:type="band1Vert">
      <w:tcPr>
        <w:shd w:val="clear" w:color="auto" w:fill="DDDDDE" w:themeFill="accent6" w:themeFillTint="33"/>
      </w:tcPr>
    </w:tblStylePr>
    <w:tblStylePr w:type="band1Horz">
      <w:tcPr>
        <w:shd w:val="clear" w:color="auto" w:fill="DDDDDE" w:themeFill="accent6" w:themeFillTint="33"/>
      </w:tcPr>
    </w:tblStylePr>
  </w:style>
  <w:style w:type="table" w:customStyle="1" w:styleId="293">
    <w:name w:val="网格表 5 深色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3EBFF"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8ED3"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8ED3"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8ED3"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8ED3" w:themeFill="text1"/>
      </w:tcPr>
    </w:tblStylePr>
    <w:tblStylePr w:type="band1Vert">
      <w:tcPr>
        <w:shd w:val="clear" w:color="auto" w:fill="87D7FF" w:themeFill="text1" w:themeFillTint="66"/>
      </w:tcPr>
    </w:tblStylePr>
    <w:tblStylePr w:type="band1Horz">
      <w:tcPr>
        <w:shd w:val="clear" w:color="auto" w:fill="87D7FF" w:themeFill="text1" w:themeFillTint="66"/>
      </w:tcPr>
    </w:tblStylePr>
  </w:style>
  <w:style w:type="table" w:customStyle="1" w:styleId="294">
    <w:name w:val="网格表 5 深色 - 着色 2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FF4FB" w:themeFill="accent2"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61CCF0" w:themeFill="accent2"/>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61CCF0" w:themeFill="accent2"/>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61CCF0" w:themeFill="accent2"/>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61CCF0" w:themeFill="accent2"/>
      </w:tcPr>
    </w:tblStylePr>
    <w:tblStylePr w:type="band1Vert">
      <w:tcPr>
        <w:shd w:val="clear" w:color="auto" w:fill="BFEAF8" w:themeFill="accent2" w:themeFillTint="66"/>
      </w:tcPr>
    </w:tblStylePr>
    <w:tblStylePr w:type="band1Horz">
      <w:tcPr>
        <w:shd w:val="clear" w:color="auto" w:fill="BFEAF8" w:themeFill="accent2" w:themeFillTint="66"/>
      </w:tcPr>
    </w:tblStylePr>
  </w:style>
  <w:style w:type="table" w:customStyle="1" w:styleId="295">
    <w:name w:val="清单表 5 深色1"/>
    <w:basedOn w:val="56"/>
    <w:qFormat/>
    <w:uiPriority w:val="50"/>
    <w:rPr>
      <w:color w:val="FFFFFF" w:themeColor="background1"/>
      <w14:textFill>
        <w14:solidFill>
          <w14:schemeClr w14:val="bg1"/>
        </w14:solidFill>
      </w14:textFill>
    </w:rPr>
    <w:tblPr>
      <w:tblBorders>
        <w:top w:val="single" w:color="008ED3" w:themeColor="text1" w:sz="24" w:space="0"/>
        <w:left w:val="single" w:color="008ED3" w:themeColor="text1" w:sz="24" w:space="0"/>
        <w:bottom w:val="single" w:color="008ED3" w:themeColor="text1" w:sz="24" w:space="0"/>
        <w:right w:val="single" w:color="008ED3" w:themeColor="text1" w:sz="24" w:space="0"/>
      </w:tblBorders>
    </w:tblPr>
    <w:tcPr>
      <w:shd w:val="clear" w:color="auto" w:fill="008ED3" w:themeFill="tex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6">
    <w:name w:val="清单表 7 彩色1"/>
    <w:basedOn w:val="56"/>
    <w:qFormat/>
    <w:uiPriority w:val="52"/>
    <w:rPr>
      <w:color w:val="008ED3" w:themeColor="text1"/>
      <w14:textFill>
        <w14:solidFill>
          <w14:schemeClr w14:val="tx1"/>
        </w14:solidFill>
      </w14:textFill>
    </w:rPr>
    <w:tblStylePr w:type="firstRow">
      <w:rPr>
        <w:rFonts w:asciiTheme="majorHAnsi" w:hAnsiTheme="majorHAnsi" w:eastAsiaTheme="majorEastAsia" w:cstheme="majorBidi"/>
        <w:i/>
        <w:iCs/>
        <w:sz w:val="26"/>
      </w:rPr>
      <w:tcPr>
        <w:tcBorders>
          <w:bottom w:val="single" w:color="008ED3"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8ED3"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8ED3"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8ED3" w:themeColor="text1" w:sz="4" w:space="0"/>
        </w:tcBorders>
        <w:shd w:val="clear" w:color="auto" w:fill="FFFFFF" w:themeFill="background1"/>
      </w:tcPr>
    </w:tblStylePr>
    <w:tblStylePr w:type="band1Vert">
      <w:tcPr>
        <w:shd w:val="clear" w:color="auto" w:fill="C3EBFF" w:themeFill="text1" w:themeFillTint="33"/>
      </w:tcPr>
    </w:tblStylePr>
    <w:tblStylePr w:type="band1Horz">
      <w:tcPr>
        <w:shd w:val="clear" w:color="auto" w:fill="C3EBFF"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97">
    <w:name w:val="网格表 4 - 着色 41"/>
    <w:basedOn w:val="56"/>
    <w:qFormat/>
    <w:uiPriority w:val="49"/>
    <w:tblPr>
      <w:tblBorders>
        <w:top w:val="single" w:color="D467D2" w:themeColor="accent4" w:themeTint="99" w:sz="4" w:space="0"/>
        <w:left w:val="single" w:color="D467D2" w:themeColor="accent4" w:themeTint="99" w:sz="4" w:space="0"/>
        <w:bottom w:val="single" w:color="D467D2" w:themeColor="accent4" w:themeTint="99" w:sz="4" w:space="0"/>
        <w:right w:val="single" w:color="D467D2" w:themeColor="accent4" w:themeTint="99" w:sz="4" w:space="0"/>
        <w:insideH w:val="single" w:color="D467D2" w:themeColor="accent4" w:themeTint="99" w:sz="4" w:space="0"/>
        <w:insideV w:val="single" w:color="D467D2" w:themeColor="accent4" w:themeTint="99" w:sz="4" w:space="0"/>
      </w:tblBorders>
    </w:tblPr>
    <w:tblStylePr w:type="firstRow">
      <w:rPr>
        <w:b/>
        <w:bCs/>
        <w:color w:val="FFFFFF" w:themeColor="background1"/>
        <w14:textFill>
          <w14:solidFill>
            <w14:schemeClr w14:val="bg1"/>
          </w14:solidFill>
        </w14:textFill>
      </w:rPr>
      <w:tcPr>
        <w:tcBorders>
          <w:top w:val="single" w:color="922990" w:themeColor="accent4" w:sz="4" w:space="0"/>
          <w:left w:val="single" w:color="922990" w:themeColor="accent4" w:sz="4" w:space="0"/>
          <w:bottom w:val="single" w:color="922990" w:themeColor="accent4" w:sz="4" w:space="0"/>
          <w:right w:val="single" w:color="922990" w:themeColor="accent4" w:sz="4" w:space="0"/>
          <w:insideH w:val="nil"/>
          <w:insideV w:val="nil"/>
        </w:tcBorders>
        <w:shd w:val="clear" w:color="auto" w:fill="922990" w:themeFill="accent4"/>
      </w:tcPr>
    </w:tblStylePr>
    <w:tblStylePr w:type="lastRow">
      <w:rPr>
        <w:b/>
        <w:bCs/>
      </w:rPr>
      <w:tcPr>
        <w:tcBorders>
          <w:top w:val="double" w:color="922990" w:themeColor="accent4" w:sz="4" w:space="0"/>
        </w:tcBorders>
      </w:tcPr>
    </w:tblStylePr>
    <w:tblStylePr w:type="firstCol">
      <w:rPr>
        <w:b/>
        <w:bCs/>
      </w:rPr>
    </w:tblStylePr>
    <w:tblStylePr w:type="lastCol">
      <w:rPr>
        <w:b/>
        <w:bCs/>
      </w:rPr>
    </w:tblStylePr>
    <w:tblStylePr w:type="band1Vert">
      <w:tcPr>
        <w:shd w:val="clear" w:color="auto" w:fill="F0CCF0" w:themeFill="accent4" w:themeFillTint="33"/>
      </w:tcPr>
    </w:tblStylePr>
    <w:tblStylePr w:type="band1Horz">
      <w:tcPr>
        <w:shd w:val="clear" w:color="auto" w:fill="F0CCF0" w:themeFill="accent4" w:themeFillTint="33"/>
      </w:tcPr>
    </w:tblStylePr>
  </w:style>
  <w:style w:type="table" w:customStyle="1" w:styleId="298">
    <w:name w:val="网格表 4 - 着色 21"/>
    <w:basedOn w:val="56"/>
    <w:qFormat/>
    <w:uiPriority w:val="49"/>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insideV w:val="single" w:color="A0E0F5" w:themeColor="accent2" w:themeTint="99" w:sz="4" w:space="0"/>
      </w:tblBorders>
    </w:tblPr>
    <w:tblStylePr w:type="firstRow">
      <w:rPr>
        <w:b/>
        <w:bCs/>
        <w:color w:val="FFFFFF" w:themeColor="background1"/>
        <w14:textFill>
          <w14:solidFill>
            <w14:schemeClr w14:val="bg1"/>
          </w14:solidFill>
        </w14:textFill>
      </w:rPr>
      <w:tcPr>
        <w:tcBorders>
          <w:top w:val="single" w:color="61CCF0" w:themeColor="accent2" w:sz="4" w:space="0"/>
          <w:left w:val="single" w:color="61CCF0" w:themeColor="accent2" w:sz="4" w:space="0"/>
          <w:bottom w:val="single" w:color="61CCF0" w:themeColor="accent2" w:sz="4" w:space="0"/>
          <w:right w:val="single" w:color="61CCF0" w:themeColor="accent2" w:sz="4" w:space="0"/>
          <w:insideH w:val="nil"/>
          <w:insideV w:val="nil"/>
        </w:tcBorders>
        <w:shd w:val="clear" w:color="auto" w:fill="61CCF0" w:themeFill="accent2"/>
      </w:tcPr>
    </w:tblStylePr>
    <w:tblStylePr w:type="lastRow">
      <w:rPr>
        <w:b/>
        <w:bCs/>
      </w:rPr>
      <w:tcPr>
        <w:tcBorders>
          <w:top w:val="double" w:color="61CCF0" w:themeColor="accent2" w:sz="4" w:space="0"/>
        </w:tcBorders>
      </w:tcPr>
    </w:tblStylePr>
    <w:tblStylePr w:type="firstCol">
      <w:rPr>
        <w:b/>
        <w:bCs/>
      </w:rPr>
    </w:tblStylePr>
    <w:tblStylePr w:type="lastCol">
      <w:rPr>
        <w:b/>
        <w:bCs/>
      </w:rPr>
    </w:tblStylePr>
    <w:tblStylePr w:type="band1Vert">
      <w:tcPr>
        <w:shd w:val="clear" w:color="auto" w:fill="DFF4FB" w:themeFill="accent2" w:themeFillTint="33"/>
      </w:tcPr>
    </w:tblStylePr>
    <w:tblStylePr w:type="band1Horz">
      <w:tcPr>
        <w:shd w:val="clear" w:color="auto" w:fill="DFF4FB" w:themeFill="accent2" w:themeFillTint="33"/>
      </w:tcPr>
    </w:tblStylePr>
  </w:style>
  <w:style w:type="table" w:customStyle="1" w:styleId="299">
    <w:name w:val="清单表 3 - 着色 61"/>
    <w:basedOn w:val="56"/>
    <w:qFormat/>
    <w:uiPriority w:val="48"/>
    <w:tblPr>
      <w:tblBorders>
        <w:top w:val="single" w:color="58595B" w:themeColor="accent6" w:sz="4" w:space="0"/>
        <w:left w:val="single" w:color="58595B" w:themeColor="accent6" w:sz="4" w:space="0"/>
        <w:bottom w:val="single" w:color="58595B" w:themeColor="accent6" w:sz="4" w:space="0"/>
        <w:right w:val="single" w:color="58595B" w:themeColor="accent6" w:sz="4" w:space="0"/>
      </w:tblBorders>
    </w:tblPr>
    <w:tblStylePr w:type="firstRow">
      <w:rPr>
        <w:b/>
        <w:bCs/>
        <w:color w:val="FFFFFF" w:themeColor="background1"/>
        <w14:textFill>
          <w14:solidFill>
            <w14:schemeClr w14:val="bg1"/>
          </w14:solidFill>
        </w14:textFill>
      </w:rPr>
      <w:tcPr>
        <w:shd w:val="clear" w:color="auto" w:fill="58595B" w:themeFill="accent6"/>
      </w:tcPr>
    </w:tblStylePr>
    <w:tblStylePr w:type="lastRow">
      <w:rPr>
        <w:b/>
        <w:bCs/>
      </w:rPr>
      <w:tcPr>
        <w:tcBorders>
          <w:top w:val="double" w:color="58595B" w:themeColor="accent6"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58595B" w:themeColor="accent6" w:sz="4" w:space="0"/>
          <w:right w:val="single" w:color="58595B" w:themeColor="accent6" w:sz="4" w:space="0"/>
        </w:tcBorders>
      </w:tcPr>
    </w:tblStylePr>
    <w:tblStylePr w:type="band1Horz">
      <w:tcPr>
        <w:tcBorders>
          <w:top w:val="single" w:color="58595B" w:themeColor="accent6" w:sz="4" w:space="0"/>
          <w:bottom w:val="single" w:color="58595B" w:themeColor="accent6"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8595B" w:themeColor="accent6" w:sz="4" w:space="0"/>
          <w:left w:val="nil"/>
        </w:tcBorders>
      </w:tcPr>
    </w:tblStylePr>
    <w:tblStylePr w:type="swCell">
      <w:tcPr>
        <w:tcBorders>
          <w:top w:val="double" w:color="58595B" w:themeColor="accent6" w:sz="4" w:space="0"/>
          <w:right w:val="nil"/>
        </w:tcBorders>
      </w:tcPr>
    </w:tblStylePr>
  </w:style>
  <w:style w:type="table" w:customStyle="1" w:styleId="300">
    <w:name w:val="清单表 41"/>
    <w:basedOn w:val="56"/>
    <w:qFormat/>
    <w:uiPriority w:val="49"/>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tblBorders>
    </w:tblPr>
    <w:tblStylePr w:type="firstRow">
      <w:rPr>
        <w:b/>
        <w:bCs/>
        <w:color w:val="FFFFFF" w:themeColor="background1"/>
        <w14:textFill>
          <w14:solidFill>
            <w14:schemeClr w14:val="bg1"/>
          </w14:solidFill>
        </w14:textFill>
      </w:rPr>
      <w:tcPr>
        <w:tcBorders>
          <w:top w:val="single" w:color="008ED3" w:themeColor="text1" w:sz="4" w:space="0"/>
          <w:left w:val="single" w:color="008ED3" w:themeColor="text1" w:sz="4" w:space="0"/>
          <w:bottom w:val="single" w:color="008ED3" w:themeColor="text1" w:sz="4" w:space="0"/>
          <w:right w:val="single" w:color="008ED3" w:themeColor="text1" w:sz="4" w:space="0"/>
          <w:insideH w:val="nil"/>
        </w:tcBorders>
        <w:shd w:val="clear" w:color="auto" w:fill="008ED3" w:themeFill="text1"/>
      </w:tcPr>
    </w:tblStylePr>
    <w:tblStylePr w:type="lastRow">
      <w:rPr>
        <w:b/>
        <w:bCs/>
      </w:rPr>
      <w:tcPr>
        <w:tcBorders>
          <w:top w:val="double" w:color="4BC4FF" w:themeColor="text1" w:themeTint="99"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table" w:customStyle="1" w:styleId="301">
    <w:name w:val="网格表 7 彩色 - 着色 61"/>
    <w:basedOn w:val="56"/>
    <w:qFormat/>
    <w:uiPriority w:val="52"/>
    <w:rPr>
      <w:color w:val="424344" w:themeColor="accent6" w:themeShade="BF"/>
    </w:rPr>
    <w:tblPr>
      <w:tblBorders>
        <w:top w:val="single" w:color="9A9B9D" w:themeColor="accent6" w:themeTint="99" w:sz="4" w:space="0"/>
        <w:left w:val="single" w:color="9A9B9D" w:themeColor="accent6" w:themeTint="99" w:sz="4" w:space="0"/>
        <w:bottom w:val="single" w:color="9A9B9D" w:themeColor="accent6" w:themeTint="99" w:sz="4" w:space="0"/>
        <w:right w:val="single" w:color="9A9B9D" w:themeColor="accent6" w:themeTint="99" w:sz="4" w:space="0"/>
        <w:insideH w:val="single" w:color="9A9B9D" w:themeColor="accent6" w:themeTint="99" w:sz="4" w:space="0"/>
        <w:insideV w:val="single" w:color="9A9B9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DDDDE" w:themeFill="accent6" w:themeFillTint="33"/>
      </w:tcPr>
    </w:tblStylePr>
    <w:tblStylePr w:type="band1Horz">
      <w:tcPr>
        <w:shd w:val="clear" w:color="auto" w:fill="DDDDDE" w:themeFill="accent6" w:themeFillTint="33"/>
      </w:tcPr>
    </w:tblStylePr>
    <w:tblStylePr w:type="neCell">
      <w:tcPr>
        <w:tcBorders>
          <w:bottom w:val="single" w:color="9A9B9D" w:themeColor="accent6" w:themeTint="99" w:sz="4" w:space="0"/>
        </w:tcBorders>
      </w:tcPr>
    </w:tblStylePr>
    <w:tblStylePr w:type="nwCell">
      <w:tcPr>
        <w:tcBorders>
          <w:bottom w:val="single" w:color="9A9B9D" w:themeColor="accent6" w:themeTint="99" w:sz="4" w:space="0"/>
        </w:tcBorders>
      </w:tcPr>
    </w:tblStylePr>
    <w:tblStylePr w:type="seCell">
      <w:tcPr>
        <w:tcBorders>
          <w:top w:val="single" w:color="9A9B9D" w:themeColor="accent6" w:themeTint="99" w:sz="4" w:space="0"/>
        </w:tcBorders>
      </w:tcPr>
    </w:tblStylePr>
    <w:tblStylePr w:type="swCell">
      <w:tcPr>
        <w:tcBorders>
          <w:top w:val="single" w:color="9A9B9D" w:themeColor="accent6" w:themeTint="99" w:sz="4" w:space="0"/>
        </w:tcBorders>
      </w:tcPr>
    </w:tblStylePr>
  </w:style>
  <w:style w:type="table" w:customStyle="1" w:styleId="302">
    <w:name w:val="网格表 5 深色 - 着色 5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8F3D9"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8DC642"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8DC642"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8DC642"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8DC642" w:themeFill="accent5"/>
      </w:tcPr>
    </w:tblStylePr>
    <w:tblStylePr w:type="band1Vert">
      <w:tcPr>
        <w:shd w:val="clear" w:color="auto" w:fill="D1E8B3" w:themeFill="accent5" w:themeFillTint="66"/>
      </w:tcPr>
    </w:tblStylePr>
    <w:tblStylePr w:type="band1Horz">
      <w:tcPr>
        <w:shd w:val="clear" w:color="auto" w:fill="D1E8B3" w:themeFill="accent5" w:themeFillTint="66"/>
      </w:tcPr>
    </w:tblStylePr>
  </w:style>
  <w:style w:type="table" w:customStyle="1" w:styleId="303">
    <w:name w:val="清单表 6 彩色1"/>
    <w:basedOn w:val="56"/>
    <w:qFormat/>
    <w:uiPriority w:val="51"/>
    <w:rPr>
      <w:color w:val="008ED3" w:themeColor="text1"/>
      <w14:textFill>
        <w14:solidFill>
          <w14:schemeClr w14:val="tx1"/>
        </w14:solidFill>
      </w14:textFill>
    </w:rPr>
    <w:tblPr>
      <w:tblBorders>
        <w:top w:val="single" w:color="008ED3" w:themeColor="text1" w:sz="4" w:space="0"/>
        <w:bottom w:val="single" w:color="008ED3" w:themeColor="text1" w:sz="4" w:space="0"/>
      </w:tblBorders>
    </w:tblPr>
    <w:tblStylePr w:type="firstRow">
      <w:rPr>
        <w:b/>
        <w:bCs/>
      </w:rPr>
      <w:tcPr>
        <w:tcBorders>
          <w:bottom w:val="single" w:color="008ED3" w:themeColor="text1" w:sz="4" w:space="0"/>
        </w:tcBorders>
      </w:tcPr>
    </w:tblStylePr>
    <w:tblStylePr w:type="lastRow">
      <w:rPr>
        <w:b/>
        <w:bCs/>
      </w:rPr>
      <w:tcPr>
        <w:tcBorders>
          <w:top w:val="double" w:color="008ED3" w:themeColor="text1"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paragraph" w:customStyle="1" w:styleId="30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305">
    <w:name w:val="列出段落1"/>
    <w:basedOn w:val="1"/>
    <w:semiHidden/>
    <w:qFormat/>
    <w:uiPriority w:val="0"/>
    <w:pPr>
      <w:spacing w:before="100" w:beforeAutospacing="1" w:line="256" w:lineRule="auto"/>
      <w:ind w:firstLine="420" w:firstLineChars="200"/>
    </w:pPr>
    <w:rPr>
      <w:rFonts w:eastAsia="宋体"/>
      <w:szCs w:val="21"/>
    </w:rPr>
  </w:style>
  <w:style w:type="table" w:customStyle="1" w:styleId="306">
    <w:name w:val="网格表 4 - 着色 51"/>
    <w:basedOn w:val="56"/>
    <w:qFormat/>
    <w:uiPriority w:val="0"/>
    <w:rPr>
      <w:rFonts w:eastAsia="Times New Roman"/>
    </w:rPr>
    <w:tblPr>
      <w:tblBorders>
        <w:top w:val="single" w:color="BADC8D" w:sz="4" w:space="0"/>
        <w:left w:val="single" w:color="BADC8D" w:sz="4" w:space="0"/>
        <w:bottom w:val="single" w:color="BADC8D" w:sz="4" w:space="0"/>
        <w:right w:val="single" w:color="BADC8D" w:sz="4" w:space="0"/>
        <w:insideH w:val="single" w:color="BADC8D" w:sz="4" w:space="0"/>
        <w:insideV w:val="single" w:color="BADC8D" w:sz="4" w:space="0"/>
      </w:tblBorders>
    </w:tblPr>
    <w:tblStylePr w:type="firstRow">
      <w:rPr>
        <w:rFonts w:hint="default" w:ascii="Times New Roman" w:hAnsi="Times New Roman" w:cs="Times New Roman"/>
        <w:b/>
        <w:bCs/>
        <w:color w:val="FFFFFF"/>
      </w:rPr>
      <w:tcPr>
        <w:tcBorders>
          <w:top w:val="single" w:color="8DC642" w:sz="4" w:space="0"/>
          <w:left w:val="single" w:color="8DC642" w:sz="4" w:space="0"/>
          <w:bottom w:val="single" w:color="8DC642" w:sz="4" w:space="0"/>
          <w:right w:val="single" w:color="8DC642" w:sz="4" w:space="0"/>
          <w:insideH w:val="nil"/>
          <w:insideV w:val="nil"/>
        </w:tcBorders>
        <w:shd w:val="clear" w:color="auto" w:fill="8DC642"/>
      </w:tcPr>
    </w:tblStylePr>
    <w:tblStylePr w:type="lastRow">
      <w:rPr>
        <w:rFonts w:hint="default" w:ascii="Times New Roman" w:hAnsi="Times New Roman" w:cs="Times New Roman"/>
        <w:b/>
        <w:bCs/>
      </w:rPr>
      <w:tcPr>
        <w:tcBorders>
          <w:top w:val="double" w:color="8DC642" w:sz="2"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tcPr>
        <w:shd w:val="clear" w:color="auto" w:fill="E8F3D9"/>
      </w:tcPr>
    </w:tblStylePr>
    <w:tblStylePr w:type="band1Horz">
      <w:tcPr>
        <w:shd w:val="clear" w:color="auto" w:fill="E8F3D9"/>
      </w:tcPr>
    </w:tblStyle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F48645-FD4D-4884-AB22-F1CD3AD58FA6}">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5</Pages>
  <Words>1424</Words>
  <Characters>8119</Characters>
  <Lines>67</Lines>
  <Paragraphs>19</Paragraphs>
  <TotalTime>3</TotalTime>
  <ScaleCrop>false</ScaleCrop>
  <LinksUpToDate>false</LinksUpToDate>
  <CharactersWithSpaces>9524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2022-11-03T12:00:00Z</dcterms:created>
  <dc:creator>10033860</dc:creator>
  <cp:lastModifiedBy>ZTE(Zhihong)</cp:lastModifiedBy>
  <cp:lastPrinted>2113-01-01T00:00:00Z</cp:lastPrinted>
  <dcterms:modified xsi:type="dcterms:W3CDTF">2023-02-17T07:22:59Z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